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E1" w:rsidRPr="001070BC" w:rsidRDefault="00FE76E1" w:rsidP="00FE76E1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1070BC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FE76E1" w:rsidRPr="001070BC" w:rsidRDefault="00FE76E1" w:rsidP="00FE76E1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1070BC">
        <w:rPr>
          <w:rFonts w:ascii="GHEA Grapalat" w:hAnsi="GHEA Grapalat"/>
          <w:sz w:val="20"/>
          <w:szCs w:val="20"/>
          <w:lang w:val="hy-AM"/>
        </w:rPr>
        <w:t>ՀՀ</w:t>
      </w:r>
      <w:r w:rsidRPr="001070BC">
        <w:rPr>
          <w:rFonts w:ascii="GHEA Grapalat" w:hAnsi="GHEA Grapalat"/>
          <w:sz w:val="20"/>
          <w:szCs w:val="20"/>
          <w:lang w:val="nl-NL"/>
        </w:rPr>
        <w:t xml:space="preserve"> </w:t>
      </w:r>
      <w:r w:rsidRPr="001070BC">
        <w:rPr>
          <w:rFonts w:ascii="GHEA Grapalat" w:hAnsi="GHEA Grapalat"/>
          <w:sz w:val="20"/>
          <w:szCs w:val="20"/>
          <w:lang w:val="hy-AM"/>
        </w:rPr>
        <w:t>Լոռու</w:t>
      </w:r>
      <w:r w:rsidRPr="001070BC">
        <w:rPr>
          <w:rFonts w:ascii="GHEA Grapalat" w:hAnsi="GHEA Grapalat"/>
          <w:sz w:val="20"/>
          <w:szCs w:val="20"/>
          <w:lang w:val="nl-NL"/>
        </w:rPr>
        <w:t xml:space="preserve"> </w:t>
      </w:r>
      <w:r w:rsidRPr="001070BC">
        <w:rPr>
          <w:rFonts w:ascii="GHEA Grapalat" w:hAnsi="GHEA Grapalat"/>
          <w:sz w:val="20"/>
          <w:szCs w:val="20"/>
          <w:lang w:val="hy-AM"/>
        </w:rPr>
        <w:t>մարզի</w:t>
      </w:r>
      <w:r w:rsidRPr="001070BC">
        <w:rPr>
          <w:rFonts w:ascii="GHEA Grapalat" w:hAnsi="GHEA Grapalat"/>
          <w:sz w:val="20"/>
          <w:szCs w:val="20"/>
          <w:lang w:val="nl-NL"/>
        </w:rPr>
        <w:t xml:space="preserve"> </w:t>
      </w:r>
      <w:r w:rsidRPr="001070BC">
        <w:rPr>
          <w:rFonts w:ascii="GHEA Grapalat" w:hAnsi="GHEA Grapalat"/>
          <w:sz w:val="20"/>
          <w:szCs w:val="20"/>
          <w:lang w:val="hy-AM"/>
        </w:rPr>
        <w:t>Տաշիր</w:t>
      </w:r>
      <w:r w:rsidRPr="001070BC">
        <w:rPr>
          <w:rFonts w:ascii="GHEA Grapalat" w:hAnsi="GHEA Grapalat"/>
          <w:sz w:val="20"/>
          <w:szCs w:val="20"/>
          <w:lang w:val="nl-NL"/>
        </w:rPr>
        <w:t xml:space="preserve"> </w:t>
      </w:r>
      <w:r w:rsidRPr="001070BC">
        <w:rPr>
          <w:rFonts w:ascii="GHEA Grapalat" w:hAnsi="GHEA Grapalat"/>
          <w:sz w:val="20"/>
          <w:szCs w:val="20"/>
          <w:lang w:val="hy-AM"/>
        </w:rPr>
        <w:t>համայնքի</w:t>
      </w:r>
      <w:r w:rsidRPr="001070BC">
        <w:rPr>
          <w:rFonts w:ascii="GHEA Grapalat" w:hAnsi="GHEA Grapalat"/>
          <w:sz w:val="20"/>
          <w:szCs w:val="20"/>
          <w:lang w:val="nl-NL"/>
        </w:rPr>
        <w:t xml:space="preserve"> </w:t>
      </w:r>
      <w:r w:rsidRPr="001070BC">
        <w:rPr>
          <w:rFonts w:ascii="GHEA Grapalat" w:hAnsi="GHEA Grapalat"/>
          <w:sz w:val="20"/>
          <w:szCs w:val="20"/>
          <w:lang w:val="hy-AM"/>
        </w:rPr>
        <w:t>ավագանու</w:t>
      </w:r>
      <w:r w:rsidRPr="001070BC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FE76E1" w:rsidRPr="001070BC" w:rsidRDefault="00FE76E1" w:rsidP="00FE76E1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1070BC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1070BC">
        <w:rPr>
          <w:rFonts w:ascii="GHEA Grapalat" w:hAnsi="GHEA Grapalat"/>
          <w:sz w:val="20"/>
          <w:szCs w:val="20"/>
          <w:lang w:val="hy-AM"/>
        </w:rPr>
        <w:t>2</w:t>
      </w:r>
      <w:r w:rsidRPr="001070BC">
        <w:rPr>
          <w:rFonts w:ascii="GHEA Grapalat" w:hAnsi="GHEA Grapalat"/>
          <w:sz w:val="20"/>
          <w:szCs w:val="20"/>
          <w:lang w:val="nl-NL"/>
        </w:rPr>
        <w:t>2</w:t>
      </w:r>
      <w:r w:rsidRPr="001070BC">
        <w:rPr>
          <w:rFonts w:ascii="GHEA Grapalat" w:hAnsi="GHEA Grapalat"/>
          <w:sz w:val="20"/>
          <w:szCs w:val="20"/>
          <w:lang w:val="hy-AM"/>
        </w:rPr>
        <w:t>թ</w:t>
      </w:r>
      <w:r w:rsidRPr="001070BC">
        <w:rPr>
          <w:rFonts w:ascii="GHEA Grapalat" w:hAnsi="GHEA Grapalat"/>
          <w:sz w:val="20"/>
          <w:szCs w:val="20"/>
          <w:lang w:val="nl-NL"/>
        </w:rPr>
        <w:t xml:space="preserve">վականի մայիսի 25 </w:t>
      </w:r>
      <w:r w:rsidRPr="001070BC">
        <w:rPr>
          <w:rFonts w:ascii="GHEA Grapalat" w:hAnsi="GHEA Grapalat"/>
          <w:sz w:val="20"/>
          <w:szCs w:val="20"/>
          <w:lang w:val="hy-AM"/>
        </w:rPr>
        <w:t>-</w:t>
      </w:r>
      <w:r w:rsidRPr="001070BC">
        <w:rPr>
          <w:rFonts w:ascii="GHEA Grapalat" w:hAnsi="GHEA Grapalat"/>
          <w:sz w:val="20"/>
          <w:szCs w:val="20"/>
          <w:lang w:val="nl-NL"/>
        </w:rPr>
        <w:t xml:space="preserve">ի N 35- Ա </w:t>
      </w:r>
      <w:r w:rsidRPr="001070BC">
        <w:rPr>
          <w:rFonts w:ascii="GHEA Grapalat" w:hAnsi="GHEA Grapalat"/>
          <w:sz w:val="20"/>
          <w:szCs w:val="20"/>
          <w:lang w:val="hy-AM"/>
        </w:rPr>
        <w:t>որոշման</w:t>
      </w:r>
    </w:p>
    <w:p w:rsidR="00FE76E1" w:rsidRPr="001070BC" w:rsidRDefault="00FE76E1" w:rsidP="00FE76E1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1070BC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1070BC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1070BC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1070BC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1070BC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1070BC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1070BC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1070BC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1070BC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1070BC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1070BC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1070BC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1070BC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1070BC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1070BC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1070BC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proofErr w:type="spellStart"/>
      <w:r w:rsidRPr="001070BC">
        <w:rPr>
          <w:rFonts w:ascii="GHEA Grapalat" w:hAnsi="GHEA Grapalat" w:cs="Sylfaen"/>
          <w:b/>
          <w:i/>
          <w:color w:val="000000"/>
          <w:sz w:val="20"/>
          <w:szCs w:val="20"/>
        </w:rPr>
        <w:t>աճուրդով</w:t>
      </w:r>
      <w:proofErr w:type="spellEnd"/>
      <w:r w:rsidRPr="001070BC">
        <w:rPr>
          <w:rFonts w:ascii="GHEA Grapalat" w:hAnsi="GHEA Grapalat" w:cs="Sylfaen"/>
          <w:b/>
          <w:i/>
          <w:color w:val="000000"/>
          <w:sz w:val="20"/>
          <w:szCs w:val="20"/>
          <w:lang w:val="nl-NL"/>
        </w:rPr>
        <w:t xml:space="preserve"> </w:t>
      </w:r>
      <w:r w:rsidRPr="001070BC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88"/>
        <w:gridCol w:w="1932"/>
        <w:gridCol w:w="2080"/>
        <w:gridCol w:w="1932"/>
        <w:gridCol w:w="1338"/>
        <w:gridCol w:w="1932"/>
        <w:gridCol w:w="1932"/>
        <w:gridCol w:w="1004"/>
      </w:tblGrid>
      <w:tr w:rsidR="00FE76E1" w:rsidRPr="001070BC" w:rsidTr="00234BEB">
        <w:trPr>
          <w:trHeight w:val="3262"/>
        </w:trPr>
        <w:tc>
          <w:tcPr>
            <w:tcW w:w="708" w:type="dxa"/>
          </w:tcPr>
          <w:p w:rsidR="00FE76E1" w:rsidRPr="001070BC" w:rsidRDefault="00FE76E1" w:rsidP="00234BE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070BC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588" w:type="dxa"/>
            <w:vAlign w:val="center"/>
          </w:tcPr>
          <w:p w:rsidR="00FE76E1" w:rsidRPr="001070BC" w:rsidRDefault="00FE76E1" w:rsidP="00234BEB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932" w:type="dxa"/>
            <w:vAlign w:val="center"/>
          </w:tcPr>
          <w:p w:rsidR="00FE76E1" w:rsidRPr="001070BC" w:rsidRDefault="00FE76E1" w:rsidP="00234BE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2080" w:type="dxa"/>
            <w:vAlign w:val="center"/>
          </w:tcPr>
          <w:p w:rsidR="00FE76E1" w:rsidRPr="001070BC" w:rsidRDefault="00FE76E1" w:rsidP="00234BEB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FE76E1" w:rsidRPr="001070BC" w:rsidRDefault="00FE76E1" w:rsidP="00234BEB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338" w:type="dxa"/>
            <w:vAlign w:val="center"/>
          </w:tcPr>
          <w:p w:rsidR="00FE76E1" w:rsidRPr="001070BC" w:rsidRDefault="00FE76E1" w:rsidP="00234BE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FE76E1" w:rsidRPr="001070BC" w:rsidRDefault="00FE76E1" w:rsidP="00234BEB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070BC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r w:rsidRPr="001070BC">
              <w:rPr>
                <w:rFonts w:ascii="GHEA Grapalat" w:hAnsi="GHEA Grapalat"/>
                <w:b/>
                <w:sz w:val="18"/>
                <w:szCs w:val="18"/>
              </w:rPr>
              <w:t>քմ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932" w:type="dxa"/>
          </w:tcPr>
          <w:p w:rsidR="00FE76E1" w:rsidRPr="001070BC" w:rsidRDefault="00FE76E1" w:rsidP="00234BE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FE76E1" w:rsidRPr="001070BC" w:rsidRDefault="00FE76E1" w:rsidP="00234BE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FE76E1" w:rsidRPr="001070BC" w:rsidRDefault="00FE76E1" w:rsidP="00234BE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FE76E1" w:rsidRPr="001070BC" w:rsidRDefault="00FE76E1" w:rsidP="00234BEB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932" w:type="dxa"/>
            <w:vAlign w:val="center"/>
          </w:tcPr>
          <w:p w:rsidR="00FE76E1" w:rsidRPr="001070BC" w:rsidRDefault="00FE76E1" w:rsidP="00234BEB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1070BC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1070BC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004" w:type="dxa"/>
            <w:vAlign w:val="center"/>
          </w:tcPr>
          <w:p w:rsidR="00FE76E1" w:rsidRPr="001070BC" w:rsidRDefault="00FE76E1" w:rsidP="00234BEB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FE76E1" w:rsidRPr="001070BC" w:rsidRDefault="00FE76E1" w:rsidP="00234BEB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</w:p>
          <w:p w:rsidR="00FE76E1" w:rsidRPr="001070BC" w:rsidRDefault="00FE76E1" w:rsidP="00234BEB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r w:rsidRPr="001070BC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FE76E1" w:rsidRPr="001070BC" w:rsidRDefault="00FE76E1" w:rsidP="00234BE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070BC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1070BC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r w:rsidRPr="001070BC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FE76E1" w:rsidRPr="001070BC" w:rsidTr="00234BEB">
        <w:trPr>
          <w:trHeight w:val="744"/>
        </w:trPr>
        <w:tc>
          <w:tcPr>
            <w:tcW w:w="708" w:type="dxa"/>
          </w:tcPr>
          <w:p w:rsidR="00FE76E1" w:rsidRPr="001070BC" w:rsidRDefault="00FE76E1" w:rsidP="00234BE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070BC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588" w:type="dxa"/>
            <w:vAlign w:val="center"/>
          </w:tcPr>
          <w:p w:rsidR="00FE76E1" w:rsidRPr="001070BC" w:rsidRDefault="00FE76E1" w:rsidP="00234BEB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070BC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1070BC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1070BC">
              <w:rPr>
                <w:rFonts w:ascii="GHEA Grapalat" w:hAnsi="GHEA Grapalat"/>
                <w:sz w:val="18"/>
                <w:szCs w:val="18"/>
              </w:rPr>
              <w:t xml:space="preserve">գ. </w:t>
            </w:r>
            <w:proofErr w:type="spellStart"/>
            <w:proofErr w:type="gramStart"/>
            <w:r w:rsidRPr="001070BC">
              <w:rPr>
                <w:rFonts w:ascii="GHEA Grapalat" w:hAnsi="GHEA Grapalat"/>
                <w:sz w:val="18"/>
                <w:szCs w:val="18"/>
              </w:rPr>
              <w:t>Կաթնառատ</w:t>
            </w:r>
            <w:proofErr w:type="spellEnd"/>
            <w:r w:rsidRPr="001070BC">
              <w:rPr>
                <w:rFonts w:ascii="GHEA Grapalat" w:hAnsi="GHEA Grapalat"/>
                <w:sz w:val="18"/>
                <w:szCs w:val="18"/>
              </w:rPr>
              <w:t xml:space="preserve"> ,</w:t>
            </w:r>
            <w:proofErr w:type="gramEnd"/>
            <w:r w:rsidRPr="001070BC">
              <w:rPr>
                <w:rFonts w:ascii="GHEA Grapalat" w:hAnsi="GHEA Grapalat"/>
                <w:sz w:val="18"/>
                <w:szCs w:val="18"/>
              </w:rPr>
              <w:t xml:space="preserve"> 1-ին </w:t>
            </w:r>
            <w:proofErr w:type="spellStart"/>
            <w:r w:rsidRPr="001070BC">
              <w:rPr>
                <w:rFonts w:ascii="GHEA Grapalat" w:hAnsi="GHEA Grapalat"/>
                <w:sz w:val="18"/>
                <w:szCs w:val="18"/>
              </w:rPr>
              <w:t>փողոց</w:t>
            </w:r>
            <w:proofErr w:type="spellEnd"/>
            <w:r w:rsidRPr="001070BC">
              <w:rPr>
                <w:rFonts w:ascii="GHEA Grapalat" w:hAnsi="GHEA Grapalat"/>
                <w:sz w:val="18"/>
                <w:szCs w:val="18"/>
              </w:rPr>
              <w:t xml:space="preserve">, 2/2 </w:t>
            </w:r>
          </w:p>
        </w:tc>
        <w:tc>
          <w:tcPr>
            <w:tcW w:w="1932" w:type="dxa"/>
            <w:vAlign w:val="center"/>
          </w:tcPr>
          <w:p w:rsidR="00FE76E1" w:rsidRPr="001070BC" w:rsidRDefault="00FE76E1" w:rsidP="00234BEB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 w:rsidRPr="001070BC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1070BC">
              <w:rPr>
                <w:rFonts w:ascii="GHEA Grapalat" w:hAnsi="GHEA Grapalat" w:cs="Sylfaen"/>
                <w:sz w:val="18"/>
                <w:szCs w:val="18"/>
              </w:rPr>
              <w:t>053-0013-0019</w:t>
            </w:r>
          </w:p>
        </w:tc>
        <w:tc>
          <w:tcPr>
            <w:tcW w:w="2080" w:type="dxa"/>
            <w:vAlign w:val="center"/>
          </w:tcPr>
          <w:p w:rsidR="00FE76E1" w:rsidRPr="001070BC" w:rsidRDefault="00FE76E1" w:rsidP="00234BEB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/>
                <w:sz w:val="18"/>
                <w:szCs w:val="18"/>
              </w:rPr>
              <w:t>Բնակավայրերի</w:t>
            </w:r>
            <w:proofErr w:type="spellEnd"/>
            <w:r w:rsidRPr="001070BC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FE76E1" w:rsidRPr="001070BC" w:rsidRDefault="00FE76E1" w:rsidP="00234BEB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1070BC">
              <w:rPr>
                <w:rFonts w:ascii="GHEA Grapalat" w:hAnsi="GHEA Grapalat"/>
                <w:sz w:val="18"/>
                <w:szCs w:val="18"/>
              </w:rPr>
              <w:t>Հասարակակ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ա</w:t>
            </w:r>
            <w:r w:rsidRPr="001070BC">
              <w:rPr>
                <w:rFonts w:ascii="GHEA Grapalat" w:hAnsi="GHEA Grapalat"/>
                <w:sz w:val="18"/>
                <w:szCs w:val="18"/>
              </w:rPr>
              <w:t xml:space="preserve">ն </w:t>
            </w:r>
            <w:proofErr w:type="spellStart"/>
            <w:r w:rsidRPr="001070BC">
              <w:rPr>
                <w:rFonts w:ascii="GHEA Grapalat" w:hAnsi="GHEA Grapalat"/>
                <w:sz w:val="18"/>
                <w:szCs w:val="18"/>
              </w:rPr>
              <w:t>կառուցապատման</w:t>
            </w:r>
            <w:proofErr w:type="spellEnd"/>
            <w:r w:rsidRPr="001070BC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FE76E1" w:rsidRPr="001070BC" w:rsidRDefault="00FE76E1" w:rsidP="00234BEB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070BC">
              <w:rPr>
                <w:rFonts w:ascii="GHEA Grapalat" w:hAnsi="GHEA Grapalat" w:cs="Sylfaen"/>
                <w:sz w:val="18"/>
                <w:szCs w:val="18"/>
              </w:rPr>
              <w:t>41,7</w:t>
            </w:r>
          </w:p>
        </w:tc>
        <w:tc>
          <w:tcPr>
            <w:tcW w:w="1932" w:type="dxa"/>
          </w:tcPr>
          <w:p w:rsidR="00FE76E1" w:rsidRPr="001070BC" w:rsidRDefault="00FE76E1" w:rsidP="00234BE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E76E1" w:rsidRPr="00B76746" w:rsidRDefault="00FE76E1" w:rsidP="00234BEB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932" w:type="dxa"/>
            <w:vAlign w:val="center"/>
          </w:tcPr>
          <w:p w:rsidR="00FE76E1" w:rsidRPr="001070BC" w:rsidRDefault="00FE76E1" w:rsidP="00234BEB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70BC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004" w:type="dxa"/>
            <w:vAlign w:val="bottom"/>
          </w:tcPr>
          <w:p w:rsidR="00FE76E1" w:rsidRPr="001070BC" w:rsidRDefault="00FE76E1" w:rsidP="00234BEB">
            <w:pPr>
              <w:rPr>
                <w:rFonts w:ascii="GHEA Grapalat" w:hAnsi="GHEA Grapalat" w:cs="Calibri"/>
                <w:sz w:val="18"/>
                <w:szCs w:val="18"/>
              </w:rPr>
            </w:pPr>
            <w:r w:rsidRPr="001070BC">
              <w:rPr>
                <w:rFonts w:ascii="GHEA Grapalat" w:hAnsi="GHEA Grapalat" w:cs="Calibri"/>
                <w:sz w:val="18"/>
                <w:szCs w:val="18"/>
              </w:rPr>
              <w:t>18000</w:t>
            </w:r>
          </w:p>
        </w:tc>
      </w:tr>
    </w:tbl>
    <w:p w:rsidR="00FE76E1" w:rsidRPr="0006138E" w:rsidRDefault="00FE76E1" w:rsidP="00FE76E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bookmarkStart w:id="0" w:name="_GoBack"/>
      <w:bookmarkEnd w:id="0"/>
    </w:p>
    <w:p w:rsidR="00FE76E1" w:rsidRPr="0006138E" w:rsidRDefault="00FE76E1" w:rsidP="00FE76E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p w:rsidR="00FE76E1" w:rsidRPr="0006138E" w:rsidRDefault="00FE76E1" w:rsidP="00FE76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p w:rsidR="00FE76E1" w:rsidRPr="0006138E" w:rsidRDefault="00FE76E1" w:rsidP="00FE76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p w:rsidR="00FE76E1" w:rsidRPr="0006138E" w:rsidRDefault="00FE76E1" w:rsidP="00FE76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1070BC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ԱՇԽԱՏԱԿԱԶՄԻ</w:t>
      </w:r>
      <w:r w:rsidRPr="0006138E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</w:t>
      </w:r>
      <w:r w:rsidRPr="001070BC">
        <w:rPr>
          <w:rFonts w:ascii="GHEA Grapalat" w:eastAsia="Times New Roman" w:hAnsi="GHEA Grapalat" w:cs="Times New Roman"/>
          <w:color w:val="000000"/>
          <w:sz w:val="21"/>
          <w:szCs w:val="21"/>
        </w:rPr>
        <w:t>ՔԱՐՏՈՒՂԱՐ՝</w:t>
      </w:r>
      <w:r w:rsidRPr="0006138E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                                       </w:t>
      </w:r>
      <w:r w:rsidRPr="001070BC">
        <w:rPr>
          <w:rFonts w:ascii="GHEA Grapalat" w:eastAsia="Times New Roman" w:hAnsi="GHEA Grapalat" w:cs="Times New Roman"/>
          <w:color w:val="000000"/>
          <w:sz w:val="21"/>
          <w:szCs w:val="21"/>
        </w:rPr>
        <w:t>Ն</w:t>
      </w:r>
      <w:r w:rsidRPr="0006138E"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  <w:t xml:space="preserve">.  </w:t>
      </w:r>
      <w:r w:rsidRPr="001070BC">
        <w:rPr>
          <w:rFonts w:ascii="GHEA Grapalat" w:eastAsia="Times New Roman" w:hAnsi="GHEA Grapalat" w:cs="Times New Roman"/>
          <w:color w:val="000000"/>
          <w:sz w:val="21"/>
          <w:szCs w:val="21"/>
        </w:rPr>
        <w:t>ՍՈԼՈՅԱՆ</w:t>
      </w:r>
    </w:p>
    <w:p w:rsidR="00FE76E1" w:rsidRPr="0006138E" w:rsidRDefault="00FE76E1" w:rsidP="00FE76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p w:rsidR="00FE76E1" w:rsidRPr="0006138E" w:rsidRDefault="00FE76E1" w:rsidP="00FE76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p w:rsidR="00FE76E1" w:rsidRPr="0006138E" w:rsidRDefault="00FE76E1" w:rsidP="00FE76E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p w:rsidR="00504135" w:rsidRPr="00FE76E1" w:rsidRDefault="00504135" w:rsidP="00FE76E1"/>
    <w:sectPr w:rsidR="00504135" w:rsidRPr="00FE76E1" w:rsidSect="00FE7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0007F"/>
    <w:multiLevelType w:val="hybridMultilevel"/>
    <w:tmpl w:val="337E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96"/>
    <w:rsid w:val="003F1196"/>
    <w:rsid w:val="00504135"/>
    <w:rsid w:val="007B100F"/>
    <w:rsid w:val="00C92FF2"/>
    <w:rsid w:val="00EE31E3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B7C4E2-2A4E-4368-AAC5-03C4AED7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31E3"/>
    <w:rPr>
      <w:i/>
      <w:iCs/>
    </w:rPr>
  </w:style>
  <w:style w:type="paragraph" w:styleId="a4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5"/>
    <w:uiPriority w:val="34"/>
    <w:qFormat/>
    <w:rsid w:val="00EE31E3"/>
    <w:pPr>
      <w:ind w:left="720"/>
      <w:contextualSpacing/>
    </w:pPr>
  </w:style>
  <w:style w:type="character" w:customStyle="1" w:styleId="a5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4"/>
    <w:uiPriority w:val="34"/>
    <w:locked/>
    <w:rsid w:val="00EE31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2022-05-26T12:22:00Z</dcterms:created>
  <dcterms:modified xsi:type="dcterms:W3CDTF">2022-05-26T12:22:00Z</dcterms:modified>
</cp:coreProperties>
</file>