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0E7AF986"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14:paraId="19AF3D4D" w14:textId="06F459BA" w:rsidR="00E46A34" w:rsidRPr="00BB3407" w:rsidRDefault="00BB3407" w:rsidP="00BB3407">
      <w:pPr>
        <w:jc w:val="center"/>
        <w:rPr>
          <w:rFonts w:ascii="GHEA Grapalat" w:hAnsi="GHEA Grapalat"/>
          <w:b/>
          <w:sz w:val="32"/>
          <w:szCs w:val="32"/>
          <w:lang w:val="hy-AM"/>
        </w:rPr>
      </w:pPr>
      <w:bookmarkStart w:id="0" w:name="_GoBack"/>
      <w:bookmarkEnd w:id="0"/>
      <w:r w:rsidRPr="00BB3407">
        <w:rPr>
          <w:rFonts w:ascii="GHEA Grapalat" w:hAnsi="GHEA Grapalat"/>
          <w:b/>
          <w:sz w:val="32"/>
          <w:szCs w:val="32"/>
          <w:lang w:val="hy-AM"/>
        </w:rPr>
        <w:t xml:space="preserve"> </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77777777"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F42AFF">
        <w:rPr>
          <w:rFonts w:ascii="GHEA Grapalat" w:hAnsi="GHEA Grapalat"/>
          <w:sz w:val="32"/>
          <w:szCs w:val="32"/>
          <w:lang w:val="hy-AM"/>
        </w:rPr>
        <w:t>4</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4226C0E1" w14:textId="77777777" w:rsidR="00DD7704"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p>
    <w:p w14:paraId="2E258A71" w14:textId="77777777" w:rsidR="00DD7704" w:rsidRDefault="00DD7704" w:rsidP="00F73151">
      <w:pPr>
        <w:spacing w:line="240" w:lineRule="auto"/>
        <w:jc w:val="center"/>
        <w:rPr>
          <w:rFonts w:ascii="GHEA Grapalat" w:hAnsi="GHEA Grapalat" w:cs="GHEA Grapalat"/>
          <w:b/>
          <w:bCs/>
          <w:color w:val="0D0D0D" w:themeColor="text1" w:themeTint="F2"/>
          <w:sz w:val="24"/>
          <w:szCs w:val="24"/>
          <w:lang w:val="hy-AM"/>
        </w:rPr>
      </w:pPr>
    </w:p>
    <w:p w14:paraId="5A49A216" w14:textId="2B6FECAF" w:rsidR="00F73151" w:rsidRPr="00572041" w:rsidRDefault="00DD7704" w:rsidP="00F73151">
      <w:pPr>
        <w:spacing w:line="240" w:lineRule="auto"/>
        <w:jc w:val="center"/>
        <w:rPr>
          <w:rFonts w:ascii="GHEA Grapalat" w:hAnsi="GHEA Grapalat" w:cs="GHEA Grapalat"/>
          <w:b/>
          <w:bCs/>
          <w:color w:val="0D0D0D" w:themeColor="text1" w:themeTint="F2"/>
          <w:sz w:val="24"/>
          <w:szCs w:val="24"/>
          <w:lang w:val="hy-AM"/>
        </w:rPr>
      </w:pPr>
      <w:r w:rsidRPr="00DD7704">
        <w:rPr>
          <w:rFonts w:ascii="GHEA Grapalat" w:hAnsi="GHEA Grapalat" w:cs="GHEA Grapalat"/>
          <w:b/>
          <w:bCs/>
          <w:color w:val="0D0D0D" w:themeColor="text1" w:themeTint="F2"/>
          <w:sz w:val="24"/>
          <w:szCs w:val="24"/>
          <w:lang w:val="hy-AM"/>
        </w:rPr>
        <w:lastRenderedPageBreak/>
        <w:t xml:space="preserve">                                                                                               </w:t>
      </w:r>
      <w:r w:rsidRPr="005728DD">
        <w:rPr>
          <w:rFonts w:ascii="GHEA Grapalat" w:hAnsi="GHEA Grapalat" w:cs="GHEA Grapalat"/>
          <w:b/>
          <w:bCs/>
          <w:color w:val="0D0D0D" w:themeColor="text1" w:themeTint="F2"/>
          <w:sz w:val="24"/>
          <w:szCs w:val="24"/>
          <w:lang w:val="hy-AM"/>
        </w:rPr>
        <w:t xml:space="preserve"> </w:t>
      </w:r>
      <w:r w:rsidR="00F73151">
        <w:rPr>
          <w:rFonts w:ascii="GHEA Grapalat" w:hAnsi="GHEA Grapalat" w:cs="GHEA Grapalat"/>
          <w:b/>
          <w:bCs/>
          <w:color w:val="0D0D0D" w:themeColor="text1" w:themeTint="F2"/>
          <w:sz w:val="24"/>
          <w:szCs w:val="24"/>
          <w:lang w:val="hy-AM"/>
        </w:rPr>
        <w:t xml:space="preserve">  </w:t>
      </w:r>
      <w:r w:rsidR="00F73151" w:rsidRPr="00572041">
        <w:rPr>
          <w:rFonts w:ascii="GHEA Grapalat" w:hAnsi="GHEA Grapalat" w:cs="GHEA Grapalat"/>
          <w:b/>
          <w:bCs/>
          <w:color w:val="0D0D0D" w:themeColor="text1" w:themeTint="F2"/>
          <w:sz w:val="24"/>
          <w:szCs w:val="24"/>
          <w:lang w:val="hy-AM"/>
        </w:rPr>
        <w:t>Հավելված</w:t>
      </w:r>
      <w:r w:rsidR="00F73151">
        <w:rPr>
          <w:rFonts w:ascii="GHEA Grapalat" w:hAnsi="GHEA Grapalat" w:cs="GHEA Grapalat"/>
          <w:b/>
          <w:bCs/>
          <w:color w:val="0D0D0D" w:themeColor="text1" w:themeTint="F2"/>
          <w:sz w:val="24"/>
          <w:szCs w:val="24"/>
          <w:lang w:val="hy-AM"/>
        </w:rPr>
        <w:br/>
        <w:t xml:space="preserve">                                                                          </w:t>
      </w:r>
      <w:r w:rsidR="00F73151" w:rsidRPr="00572041">
        <w:rPr>
          <w:rFonts w:ascii="GHEA Grapalat" w:hAnsi="GHEA Grapalat" w:cs="GHEA Grapalat"/>
          <w:b/>
          <w:bCs/>
          <w:color w:val="0D0D0D" w:themeColor="text1" w:themeTint="F2"/>
          <w:sz w:val="24"/>
          <w:szCs w:val="24"/>
          <w:lang w:val="hy-AM"/>
        </w:rPr>
        <w:t>__________ համայնքի ավագանու</w:t>
      </w:r>
      <w:r w:rsidR="00F73151">
        <w:rPr>
          <w:rFonts w:ascii="GHEA Grapalat" w:hAnsi="GHEA Grapalat" w:cs="GHEA Grapalat"/>
          <w:b/>
          <w:bCs/>
          <w:color w:val="0D0D0D" w:themeColor="text1" w:themeTint="F2"/>
          <w:sz w:val="24"/>
          <w:szCs w:val="24"/>
          <w:lang w:val="hy-AM"/>
        </w:rPr>
        <w:br/>
        <w:t xml:space="preserve">                                                                             </w:t>
      </w:r>
      <w:r w:rsidR="00F73151" w:rsidRPr="00572041">
        <w:rPr>
          <w:rFonts w:ascii="GHEA Grapalat" w:hAnsi="GHEA Grapalat" w:cs="GHEA Grapalat"/>
          <w:b/>
          <w:bCs/>
          <w:color w:val="0D0D0D" w:themeColor="text1" w:themeTint="F2"/>
          <w:sz w:val="24"/>
          <w:szCs w:val="24"/>
          <w:lang w:val="hy-AM"/>
        </w:rPr>
        <w:t xml:space="preserve">«     » _______-ի 20__թվականի </w:t>
      </w:r>
    </w:p>
    <w:p w14:paraId="55DC072C" w14:textId="77777777"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N ____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12C1A8D9" w:rsidR="00C442B6" w:rsidRPr="002336FF" w:rsidRDefault="008D031D" w:rsidP="00C442B6">
      <w:pPr>
        <w:spacing w:line="240" w:lineRule="auto"/>
        <w:jc w:val="center"/>
        <w:rPr>
          <w:rFonts w:ascii="GHEA Grapalat" w:hAnsi="GHEA Grapalat" w:cs="GHEA Grapalat"/>
          <w:b/>
          <w:bCs/>
          <w:color w:val="0D0D0D" w:themeColor="text1" w:themeTint="F2"/>
          <w:sz w:val="32"/>
          <w:szCs w:val="32"/>
          <w:lang w:val="hy-AM"/>
        </w:rPr>
      </w:pPr>
      <w:r w:rsidRPr="008D031D">
        <w:rPr>
          <w:rFonts w:ascii="GHEA Grapalat" w:hAnsi="GHEA Grapalat" w:cs="GHEA Grapalat"/>
          <w:b/>
          <w:bCs/>
          <w:color w:val="0D0D0D" w:themeColor="text1" w:themeTint="F2"/>
          <w:sz w:val="32"/>
          <w:szCs w:val="32"/>
          <w:lang w:val="hy-AM"/>
        </w:rPr>
        <w:t>ՀԱՅԱՍՏԱՆԻ ՀԱՆՐԱՊԵՏՈՒԹՅԱՆ ԼՈՌՈՒ ՄԱՐԶԻ ՏԱՇԻՐ</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1E7D9205"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8D031D" w:rsidRPr="008D031D">
        <w:rPr>
          <w:rFonts w:ascii="GHEA Grapalat" w:hAnsi="GHEA Grapalat" w:cs="GHEA Grapalat"/>
          <w:color w:val="0D0D0D" w:themeColor="text1" w:themeTint="F2"/>
          <w:sz w:val="24"/>
          <w:szCs w:val="24"/>
          <w:lang w:val="hy-AM"/>
        </w:rPr>
        <w:t xml:space="preserve">Լոռու </w:t>
      </w:r>
      <w:r w:rsidR="00544174" w:rsidRPr="000B13BD">
        <w:rPr>
          <w:rFonts w:ascii="GHEA Grapalat" w:hAnsi="GHEA Grapalat" w:cs="GHEA Grapalat"/>
          <w:color w:val="0D0D0D" w:themeColor="text1" w:themeTint="F2"/>
          <w:sz w:val="24"/>
          <w:szCs w:val="24"/>
          <w:lang w:val="hy-AM"/>
        </w:rPr>
        <w:t xml:space="preserve">մարզի </w:t>
      </w:r>
      <w:r w:rsidR="008D031D" w:rsidRPr="008D031D">
        <w:rPr>
          <w:rFonts w:ascii="GHEA Grapalat" w:hAnsi="GHEA Grapalat" w:cs="GHEA Grapalat"/>
          <w:color w:val="0D0D0D" w:themeColor="text1" w:themeTint="F2"/>
          <w:sz w:val="24"/>
          <w:szCs w:val="24"/>
          <w:lang w:val="hy-AM"/>
        </w:rPr>
        <w:t>Տաշի</w:t>
      </w:r>
      <w:r w:rsidR="008D031D" w:rsidRPr="0056022C">
        <w:rPr>
          <w:rFonts w:ascii="GHEA Grapalat" w:hAnsi="GHEA Grapalat" w:cs="GHEA Grapalat"/>
          <w:color w:val="0D0D0D" w:themeColor="text1" w:themeTint="F2"/>
          <w:sz w:val="24"/>
          <w:szCs w:val="24"/>
          <w:lang w:val="hy-AM"/>
        </w:rPr>
        <w:t>ր</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3A2A9F82"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56022C" w:rsidRPr="0056022C">
        <w:rPr>
          <w:rFonts w:ascii="GHEA Grapalat" w:hAnsi="GHEA Grapalat"/>
          <w:sz w:val="24"/>
          <w:szCs w:val="24"/>
          <w:lang w:val="hy-AM"/>
        </w:rPr>
        <w:t xml:space="preserve">21 </w:t>
      </w:r>
      <w:r w:rsidR="00BA713A" w:rsidRPr="000B13BD">
        <w:rPr>
          <w:rFonts w:ascii="GHEA Grapalat" w:hAnsi="GHEA Grapalat"/>
          <w:sz w:val="24"/>
          <w:szCs w:val="24"/>
          <w:lang w:val="hy-AM"/>
        </w:rPr>
        <w:t>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lastRenderedPageBreak/>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2D9A8D27"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6354D7D5"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 xml:space="preserve">նորմատիվ </w:t>
      </w:r>
      <w:r w:rsidR="001D3076" w:rsidRPr="000B13BD">
        <w:rPr>
          <w:rFonts w:ascii="GHEA Grapalat" w:hAnsi="GHEA Grapalat"/>
          <w:sz w:val="24"/>
          <w:szCs w:val="24"/>
          <w:lang w:val="hy-AM"/>
        </w:rPr>
        <w:t xml:space="preserve">և ոչ նորմատիվ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BC55E5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 xml:space="preserve">և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21491329"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56022C" w:rsidRPr="0056022C">
        <w:rPr>
          <w:rFonts w:ascii="GHEA Grapalat" w:eastAsia="Times New Roman" w:hAnsi="GHEA Grapalat" w:cs="Times New Roman"/>
          <w:color w:val="000000"/>
          <w:sz w:val="24"/>
          <w:szCs w:val="24"/>
          <w:lang w:val="hy-AM"/>
        </w:rPr>
        <w:t xml:space="preserve">Լոռու մարզ </w:t>
      </w:r>
      <w:r w:rsidRPr="000B13BD">
        <w:rPr>
          <w:rFonts w:ascii="GHEA Grapalat" w:eastAsia="Times New Roman" w:hAnsi="GHEA Grapalat" w:cs="Times New Roman"/>
          <w:color w:val="000000"/>
          <w:sz w:val="24"/>
          <w:szCs w:val="24"/>
          <w:lang w:val="hy-AM"/>
        </w:rPr>
        <w:t xml:space="preserve">մարզ, </w:t>
      </w:r>
      <w:r w:rsidR="0056022C" w:rsidRPr="0056022C">
        <w:rPr>
          <w:rFonts w:ascii="GHEA Grapalat" w:eastAsia="Times New Roman" w:hAnsi="GHEA Grapalat" w:cs="Times New Roman"/>
          <w:color w:val="000000"/>
          <w:sz w:val="24"/>
          <w:szCs w:val="24"/>
          <w:lang w:val="hy-AM"/>
        </w:rPr>
        <w:t xml:space="preserve">Տաշիր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56022C" w:rsidRPr="0056022C">
        <w:rPr>
          <w:rFonts w:ascii="GHEA Grapalat" w:eastAsia="Times New Roman" w:hAnsi="GHEA Grapalat" w:cs="Times New Roman"/>
          <w:color w:val="000000"/>
          <w:sz w:val="24"/>
          <w:szCs w:val="24"/>
          <w:lang w:val="hy-AM"/>
        </w:rPr>
        <w:t xml:space="preserve">Վ. Սարգսյան </w:t>
      </w:r>
      <w:r w:rsidRPr="000B13BD">
        <w:rPr>
          <w:rFonts w:ascii="GHEA Grapalat" w:eastAsia="Times New Roman" w:hAnsi="GHEA Grapalat" w:cs="Times New Roman"/>
          <w:color w:val="000000"/>
          <w:sz w:val="24"/>
          <w:szCs w:val="24"/>
          <w:lang w:val="hy-AM"/>
        </w:rPr>
        <w:t xml:space="preserve">փողոց, </w:t>
      </w:r>
      <w:r w:rsidR="0056022C" w:rsidRPr="0056022C">
        <w:rPr>
          <w:rFonts w:ascii="GHEA Grapalat" w:eastAsia="Times New Roman" w:hAnsi="GHEA Grapalat" w:cs="Times New Roman"/>
          <w:color w:val="000000"/>
          <w:sz w:val="24"/>
          <w:szCs w:val="24"/>
          <w:lang w:val="hy-AM"/>
        </w:rPr>
        <w:t xml:space="preserve">թիվ 94 </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lastRenderedPageBreak/>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43972874"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56022C" w:rsidRPr="0056022C">
        <w:rPr>
          <w:rFonts w:ascii="GHEA Grapalat" w:eastAsia="Times New Roman" w:hAnsi="GHEA Grapalat" w:cs="Times New Roman"/>
          <w:color w:val="000000"/>
          <w:sz w:val="24"/>
          <w:szCs w:val="24"/>
          <w:lang w:val="hy-AM"/>
        </w:rPr>
        <w:t xml:space="preserve">Տաշիրի </w:t>
      </w:r>
      <w:r w:rsidRPr="000B13BD">
        <w:rPr>
          <w:rFonts w:ascii="GHEA Grapalat" w:eastAsia="Times New Roman" w:hAnsi="GHEA Grapalat" w:cs="Times New Roman"/>
          <w:color w:val="000000"/>
          <w:sz w:val="24"/>
          <w:szCs w:val="24"/>
          <w:lang w:val="hy-AM"/>
        </w:rPr>
        <w:t>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4817926"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w:t>
      </w:r>
      <w:r w:rsidR="00DF15A3" w:rsidRPr="00113A5C">
        <w:rPr>
          <w:rFonts w:ascii="GHEA Grapalat" w:eastAsia="Times New Roman" w:hAnsi="GHEA Grapalat" w:cs="Times New Roman"/>
          <w:color w:val="000000"/>
          <w:sz w:val="24"/>
          <w:szCs w:val="24"/>
          <w:lang w:val="hy-AM"/>
        </w:rPr>
        <w:lastRenderedPageBreak/>
        <w:t xml:space="preserve">թերթիկում </w:t>
      </w:r>
      <w:r w:rsidRPr="00113A5C">
        <w:rPr>
          <w:rFonts w:ascii="GHEA Grapalat" w:eastAsia="Times New Roman" w:hAnsi="GHEA Grapalat" w:cs="Times New Roman"/>
          <w:color w:val="000000"/>
          <w:sz w:val="24"/>
          <w:szCs w:val="24"/>
          <w:lang w:val="hy-AM"/>
        </w:rPr>
        <w:t xml:space="preserve">(Ձև </w:t>
      </w:r>
      <w:r w:rsidR="001D5571"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761D2913"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77777777" w:rsidR="00195AC7" w:rsidRDefault="00370A02" w:rsidP="0043198C">
      <w:pPr>
        <w:pStyle w:val="aa"/>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1C196DC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29957FD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7777777" w:rsidR="00F55C2B" w:rsidRPr="004B4A42" w:rsidRDefault="00F55C2B" w:rsidP="007D5F49">
      <w:pPr>
        <w:pStyle w:val="a5"/>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 xml:space="preserve">3,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w:t>
      </w:r>
      <w:r w:rsidR="00143A42" w:rsidRPr="007D5F49">
        <w:rPr>
          <w:rFonts w:ascii="GHEA Grapalat" w:hAnsi="GHEA Grapalat"/>
          <w:lang w:val="hy-AM"/>
        </w:rPr>
        <w:lastRenderedPageBreak/>
        <w:t xml:space="preserve">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2592995B"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56022C" w:rsidRPr="0056022C">
        <w:rPr>
          <w:rFonts w:ascii="GHEA Grapalat" w:hAnsi="GHEA Grapalat"/>
          <w:color w:val="000000"/>
          <w:lang w:val="hy-AM"/>
        </w:rPr>
        <w:t xml:space="preserve">Տաշիր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lastRenderedPageBreak/>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6486CC7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026D1603"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հետ կնքվող ժամկետային 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77777777"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առաջարկությունը </w:t>
      </w:r>
      <w:r w:rsidRPr="006A55A0">
        <w:rPr>
          <w:rFonts w:ascii="GHEA Grapalat" w:hAnsi="GHEA Grapalat"/>
          <w:sz w:val="24"/>
          <w:szCs w:val="24"/>
          <w:lang w:val="hy-AM"/>
        </w:rPr>
        <w:lastRenderedPageBreak/>
        <w:t>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ժամկետային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w:t>
      </w:r>
      <w:r w:rsidR="001115AC" w:rsidRPr="00BE0422">
        <w:rPr>
          <w:rFonts w:ascii="GHEA Grapalat" w:hAnsi="GHEA Grapalat"/>
          <w:sz w:val="24"/>
          <w:szCs w:val="24"/>
          <w:lang w:val="hy-AM"/>
        </w:rPr>
        <w:lastRenderedPageBreak/>
        <w:t>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 xml:space="preserve">իրավական հարցերի մշտական հանձնաժողով (զբաղվում է համայնքային խնդիրների համակարգային լուծման նպատակով մշակված կանոնակարգերի, </w:t>
      </w:r>
      <w:r w:rsidRPr="005B1AAB">
        <w:rPr>
          <w:rFonts w:ascii="GHEA Grapalat" w:hAnsi="GHEA Grapalat" w:cs="Sylfaen"/>
          <w:sz w:val="24"/>
          <w:szCs w:val="24"/>
          <w:lang w:val="hy-AM"/>
        </w:rPr>
        <w:lastRenderedPageBreak/>
        <w:t>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lastRenderedPageBreak/>
        <w:t xml:space="preserve">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 xml:space="preserve">ի միջոցով, կամ հանձնաժողովի նիստին կարող են առցանց եղանակով մասնակցել հանձնաժողովի այն անդամներն, ովքեր հարգելի </w:t>
      </w:r>
      <w:r w:rsidRPr="00F32BAA">
        <w:rPr>
          <w:rFonts w:ascii="GHEA Grapalat" w:hAnsi="GHEA Grapalat"/>
          <w:sz w:val="24"/>
          <w:szCs w:val="24"/>
          <w:lang w:val="hy-AM"/>
        </w:rPr>
        <w:lastRenderedPageBreak/>
        <w:t>պատճառներով հնարավորություն չեն ունեցել ներկայանալու, սակայն ցանկություն են հայտնել հեռավար կարգով մասնակցելու նիստին։</w:t>
      </w:r>
      <w:bookmarkEnd w:id="7"/>
    </w:p>
    <w:p w14:paraId="68FD0856" w14:textId="3EE5DDED" w:rsidR="0010417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sidR="00D66AF2">
        <w:rPr>
          <w:rFonts w:ascii="GHEA Grapalat" w:hAnsi="GHEA Grapalat"/>
          <w:sz w:val="24"/>
          <w:szCs w:val="24"/>
          <w:lang w:val="hy-AM"/>
        </w:rPr>
        <w:t>ն</w:t>
      </w:r>
      <w:r w:rsidRPr="00F32BAA">
        <w:rPr>
          <w:rFonts w:ascii="GHEA Grapalat" w:hAnsi="GHEA Grapalat"/>
          <w:sz w:val="24"/>
          <w:szCs w:val="24"/>
          <w:lang w:val="hy-AM"/>
        </w:rPr>
        <w:t xml:space="preserve">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F32BAA">
        <w:rPr>
          <w:rFonts w:ascii="GHEA Grapalat" w:hAnsi="GHEA Grapalat"/>
          <w:sz w:val="24"/>
          <w:szCs w:val="24"/>
          <w:lang w:val="hy-AM"/>
        </w:rPr>
        <w:t>ունների</w:t>
      </w:r>
      <w:r w:rsidRPr="00F32BAA">
        <w:rPr>
          <w:rFonts w:ascii="GHEA Grapalat" w:hAnsi="GHEA Grapalat"/>
          <w:sz w:val="24"/>
          <w:szCs w:val="24"/>
          <w:lang w:val="hy-AM"/>
        </w:rPr>
        <w:t xml:space="preserve"> մասին։ </w:t>
      </w:r>
      <w:r w:rsidR="006E2272" w:rsidRPr="00F32BAA">
        <w:rPr>
          <w:rFonts w:ascii="GHEA Grapalat" w:hAnsi="GHEA Grapalat"/>
          <w:sz w:val="24"/>
          <w:szCs w:val="24"/>
          <w:lang w:val="hy-AM"/>
        </w:rPr>
        <w:t>Այդ տ</w:t>
      </w:r>
      <w:r w:rsidRPr="00F32BAA">
        <w:rPr>
          <w:rFonts w:ascii="GHEA Grapalat" w:hAnsi="GHEA Grapalat"/>
          <w:sz w:val="24"/>
          <w:szCs w:val="24"/>
          <w:lang w:val="hy-AM"/>
        </w:rPr>
        <w:t xml:space="preserve">եղեկանքների հիման վրա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w:t>
      </w:r>
      <w:r w:rsidR="006E2272" w:rsidRPr="00F32BAA">
        <w:rPr>
          <w:rFonts w:ascii="GHEA Grapalat" w:hAnsi="GHEA Grapalat"/>
          <w:sz w:val="24"/>
          <w:szCs w:val="24"/>
          <w:lang w:val="hy-AM"/>
        </w:rPr>
        <w:t>ն</w:t>
      </w:r>
      <w:r w:rsidRPr="00F32BAA">
        <w:rPr>
          <w:rFonts w:ascii="GHEA Grapalat" w:hAnsi="GHEA Grapalat"/>
          <w:sz w:val="24"/>
          <w:szCs w:val="24"/>
          <w:lang w:val="hy-AM"/>
        </w:rPr>
        <w:t xml:space="preserve"> ամփոփ տեղեկանք է ներկայացնում Համայնքի ղեկավարին, որը հրապարակվում է Ավագանու </w:t>
      </w:r>
      <w:r w:rsidR="005E4325" w:rsidRPr="00F32BAA">
        <w:rPr>
          <w:rFonts w:ascii="GHEA Grapalat" w:hAnsi="GHEA Grapalat"/>
          <w:sz w:val="24"/>
          <w:szCs w:val="24"/>
          <w:lang w:val="hy-AM"/>
        </w:rPr>
        <w:t>հերթական</w:t>
      </w:r>
      <w:r w:rsidR="005E4325"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002F427A" w:rsidRPr="00F32BAA">
        <w:rPr>
          <w:rFonts w:ascii="GHEA Grapalat" w:hAnsi="GHEA Grapalat"/>
          <w:sz w:val="24"/>
          <w:szCs w:val="24"/>
          <w:lang w:val="hy-AM"/>
        </w:rPr>
        <w:tab/>
      </w:r>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lastRenderedPageBreak/>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001D5571"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 xml:space="preserve">Անհրաժեշտության դեպքում ընդմիջումներից հետո և քվեարկություններից առաջ </w:t>
      </w:r>
      <w:r w:rsidRPr="009671A7">
        <w:rPr>
          <w:rFonts w:ascii="GHEA Grapalat" w:hAnsi="GHEA Grapalat"/>
          <w:sz w:val="24"/>
          <w:szCs w:val="24"/>
          <w:lang w:val="hy-AM"/>
        </w:rPr>
        <w:lastRenderedPageBreak/>
        <w:t>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նիստիերի դահլիճում ներկա գտնվելու թույտվություն ստացած անձանց անուններն ընդգրկվում են Ավագանու նիստին մասնակցելու համար </w:t>
      </w:r>
      <w:r w:rsidRPr="009671A7">
        <w:rPr>
          <w:rFonts w:ascii="GHEA Grapalat" w:hAnsi="GHEA Grapalat"/>
          <w:sz w:val="24"/>
          <w:szCs w:val="24"/>
          <w:lang w:val="hy-AM"/>
        </w:rPr>
        <w:lastRenderedPageBreak/>
        <w:t>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1A567B61" w14:textId="77777777" w:rsidR="00EC5617" w:rsidRPr="00C41C55" w:rsidRDefault="00EC5617"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7E614C0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w:t>
      </w:r>
      <w:r w:rsidR="00D17537" w:rsidRPr="009671A7">
        <w:rPr>
          <w:rFonts w:ascii="GHEA Grapalat" w:hAnsi="GHEA Grapalat" w:cs="GHEA Grapalat"/>
          <w:sz w:val="24"/>
          <w:szCs w:val="24"/>
          <w:lang w:val="hy-AM"/>
        </w:rPr>
        <w:lastRenderedPageBreak/>
        <w:t xml:space="preserve">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3B94B47D"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73220D" w:rsidRPr="0073220D">
        <w:rPr>
          <w:rFonts w:ascii="GHEA Grapalat" w:hAnsi="GHEA Grapalat"/>
          <w:sz w:val="24"/>
          <w:szCs w:val="24"/>
          <w:lang w:val="hy-AM"/>
        </w:rPr>
        <w:t>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w:t>
      </w:r>
      <w:r w:rsidRPr="00402A15">
        <w:rPr>
          <w:rFonts w:ascii="GHEA Grapalat" w:hAnsi="GHEA Grapalat" w:cs="Sylfaen"/>
          <w:sz w:val="24"/>
          <w:szCs w:val="24"/>
          <w:lang w:val="hy-AM"/>
        </w:rPr>
        <w:lastRenderedPageBreak/>
        <w:t>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001D5571"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920A53">
        <w:rPr>
          <w:rFonts w:ascii="GHEA Grapalat" w:hAnsi="GHEA Grapalat" w:cs="Sylfaen"/>
          <w:sz w:val="24"/>
          <w:szCs w:val="24"/>
          <w:lang w:val="hy-AM"/>
        </w:rPr>
        <w:t>3</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Հատուկ 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lastRenderedPageBreak/>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77777777"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38261203"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1D5571">
        <w:rPr>
          <w:rFonts w:ascii="GHEA Grapalat" w:hAnsi="GHEA Grapalat"/>
          <w:sz w:val="24"/>
          <w:szCs w:val="24"/>
          <w:lang w:val="hy-AM"/>
        </w:rPr>
        <w:t xml:space="preserve">N </w:t>
      </w:r>
      <w:r w:rsidR="001C3A27" w:rsidRPr="00963B19">
        <w:rPr>
          <w:rFonts w:ascii="GHEA Grapalat" w:hAnsi="GHEA Grapalat"/>
          <w:sz w:val="24"/>
          <w:szCs w:val="24"/>
          <w:lang w:val="hy-AM"/>
        </w:rPr>
        <w:t xml:space="preserve">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26E602A4"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w:t>
      </w:r>
      <w:r w:rsidRPr="00963B19">
        <w:rPr>
          <w:rFonts w:ascii="GHEA Grapalat" w:hAnsi="GHEA Grapalat"/>
          <w:sz w:val="24"/>
          <w:szCs w:val="24"/>
          <w:lang w:val="hy-AM"/>
        </w:rPr>
        <w:lastRenderedPageBreak/>
        <w:t xml:space="preserve">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77777777"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lastRenderedPageBreak/>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635C53"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2CD9C0F3" w14:textId="23D98ACD" w:rsidR="00635C53" w:rsidRPr="00635C53" w:rsidRDefault="00635C53" w:rsidP="00E85366">
      <w:pPr>
        <w:pStyle w:val="aa"/>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03C0E513" w:rsidR="00B620D8" w:rsidRP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001D5571"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5CD6B4E6" w14:textId="508FA58C" w:rsidR="00107AD9" w:rsidRDefault="00107AD9" w:rsidP="00B620D8">
      <w:pPr>
        <w:pStyle w:val="ab"/>
        <w:jc w:val="both"/>
        <w:rPr>
          <w:rFonts w:ascii="GHEA Grapalat" w:hAnsi="GHEA Grapalat"/>
          <w:sz w:val="24"/>
          <w:szCs w:val="24"/>
          <w:lang w:val="hy-AM"/>
        </w:rPr>
      </w:pPr>
    </w:p>
    <w:p w14:paraId="31CEC566" w14:textId="77777777" w:rsidR="00EC5617" w:rsidRDefault="00EC5617"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29F618D1"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226</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մարզպետարան։</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62D34B62"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A2369F">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7777777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14:paraId="0AF3F950" w14:textId="3A027581"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w:t>
      </w:r>
      <w:r w:rsidRPr="00EB4E14">
        <w:rPr>
          <w:rFonts w:ascii="GHEA Grapalat" w:hAnsi="GHEA Grapalat"/>
          <w:sz w:val="24"/>
          <w:szCs w:val="24"/>
          <w:lang w:val="hy-AM"/>
        </w:rPr>
        <w:lastRenderedPageBreak/>
        <w:t xml:space="preserve">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24839C3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E00770">
        <w:rPr>
          <w:rFonts w:ascii="GHEA Grapalat" w:hAnsi="GHEA Grapalat"/>
          <w:sz w:val="24"/>
          <w:szCs w:val="24"/>
          <w:lang w:val="hy-AM"/>
        </w:rPr>
        <w:t>օրության</w:t>
      </w:r>
      <w:r w:rsidRPr="00E00770">
        <w:rPr>
          <w:rFonts w:ascii="GHEA Grapalat" w:hAnsi="GHEA Grapalat"/>
          <w:sz w:val="24"/>
          <w:szCs w:val="24"/>
          <w:lang w:val="hy-AM"/>
        </w:rPr>
        <w:t xml:space="preserve">ը, ակնառու ներդրում ունեն </w:t>
      </w:r>
      <w:r w:rsidR="004C149E">
        <w:rPr>
          <w:rFonts w:ascii="GHEA Grapalat" w:hAnsi="GHEA Grapalat"/>
          <w:sz w:val="24"/>
          <w:szCs w:val="24"/>
          <w:lang w:val="hy-AM"/>
        </w:rPr>
        <w:t>Հ</w:t>
      </w:r>
      <w:r w:rsidRPr="00E00770">
        <w:rPr>
          <w:rFonts w:ascii="GHEA Grapalat" w:hAnsi="GHEA Grapalat"/>
          <w:sz w:val="24"/>
          <w:szCs w:val="24"/>
          <w:lang w:val="hy-AM"/>
        </w:rPr>
        <w:t>ամայնքի տնտեսական,</w:t>
      </w:r>
      <w:r w:rsidR="00557264" w:rsidRPr="00E00770">
        <w:rPr>
          <w:rFonts w:ascii="GHEA Grapalat" w:hAnsi="GHEA Grapalat"/>
          <w:sz w:val="24"/>
          <w:szCs w:val="24"/>
          <w:lang w:val="hy-AM"/>
        </w:rPr>
        <w:t xml:space="preserve"> սոցիալական,</w:t>
      </w:r>
      <w:r w:rsidRPr="00E00770">
        <w:rPr>
          <w:rFonts w:ascii="GHEA Grapalat" w:hAnsi="GHEA Grapalat"/>
          <w:sz w:val="24"/>
          <w:szCs w:val="24"/>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8D031D">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DD7704">
      <w:footerReference w:type="default" r:id="rId10"/>
      <w:pgSz w:w="11906" w:h="16838"/>
      <w:pgMar w:top="1134" w:right="851" w:bottom="142"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C0671" w14:textId="77777777" w:rsidR="00346BB5" w:rsidRDefault="00346BB5" w:rsidP="007E7868">
      <w:pPr>
        <w:spacing w:after="0" w:line="240" w:lineRule="auto"/>
      </w:pPr>
      <w:r>
        <w:separator/>
      </w:r>
    </w:p>
  </w:endnote>
  <w:endnote w:type="continuationSeparator" w:id="0">
    <w:p w14:paraId="12E6C99F" w14:textId="77777777" w:rsidR="00346BB5" w:rsidRDefault="00346BB5"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72929"/>
      <w:docPartObj>
        <w:docPartGallery w:val="Page Numbers (Bottom of Page)"/>
        <w:docPartUnique/>
      </w:docPartObj>
    </w:sdtPr>
    <w:sdtEndPr>
      <w:rPr>
        <w:noProof/>
      </w:rPr>
    </w:sdtEndPr>
    <w:sdtContent>
      <w:p w14:paraId="6E8A35B3" w14:textId="4027F152" w:rsidR="008D031D" w:rsidRDefault="008D031D">
        <w:pPr>
          <w:pStyle w:val="ae"/>
          <w:jc w:val="right"/>
        </w:pPr>
        <w:r>
          <w:fldChar w:fldCharType="begin"/>
        </w:r>
        <w:r>
          <w:instrText xml:space="preserve"> PAGE   \* MERGEFORMAT </w:instrText>
        </w:r>
        <w:r>
          <w:fldChar w:fldCharType="separate"/>
        </w:r>
        <w:r w:rsidR="005728DD">
          <w:rPr>
            <w:noProof/>
          </w:rPr>
          <w:t>23</w:t>
        </w:r>
        <w:r>
          <w:rPr>
            <w:noProof/>
          </w:rPr>
          <w:fldChar w:fldCharType="end"/>
        </w:r>
      </w:p>
    </w:sdtContent>
  </w:sdt>
  <w:p w14:paraId="026B501D" w14:textId="77777777" w:rsidR="008D031D" w:rsidRDefault="008D03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20A79" w14:textId="77777777" w:rsidR="00346BB5" w:rsidRDefault="00346BB5" w:rsidP="007E7868">
      <w:pPr>
        <w:spacing w:after="0" w:line="240" w:lineRule="auto"/>
      </w:pPr>
      <w:r>
        <w:separator/>
      </w:r>
    </w:p>
  </w:footnote>
  <w:footnote w:type="continuationSeparator" w:id="0">
    <w:p w14:paraId="060AB340" w14:textId="77777777" w:rsidR="00346BB5" w:rsidRDefault="00346BB5" w:rsidP="007E7868">
      <w:pPr>
        <w:spacing w:after="0" w:line="240" w:lineRule="auto"/>
      </w:pPr>
      <w:r>
        <w:continuationSeparator/>
      </w:r>
    </w:p>
  </w:footnote>
  <w:footnote w:id="1">
    <w:p w14:paraId="67ACDF21" w14:textId="32CCCD50" w:rsidR="008D031D" w:rsidRPr="009A66F8" w:rsidRDefault="008D031D">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444D"/>
    <w:rsid w:val="000751C2"/>
    <w:rsid w:val="000769BD"/>
    <w:rsid w:val="000817D2"/>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D96"/>
    <w:rsid w:val="00195AC7"/>
    <w:rsid w:val="001A6959"/>
    <w:rsid w:val="001B4938"/>
    <w:rsid w:val="001C3A27"/>
    <w:rsid w:val="001D1110"/>
    <w:rsid w:val="001D3076"/>
    <w:rsid w:val="001D5571"/>
    <w:rsid w:val="001D7F7D"/>
    <w:rsid w:val="001F1654"/>
    <w:rsid w:val="002016A6"/>
    <w:rsid w:val="002018A9"/>
    <w:rsid w:val="00202389"/>
    <w:rsid w:val="0020640F"/>
    <w:rsid w:val="002077ED"/>
    <w:rsid w:val="002123D8"/>
    <w:rsid w:val="002212B6"/>
    <w:rsid w:val="0022264A"/>
    <w:rsid w:val="002226E7"/>
    <w:rsid w:val="002336FF"/>
    <w:rsid w:val="002455FE"/>
    <w:rsid w:val="0025252E"/>
    <w:rsid w:val="00256EE2"/>
    <w:rsid w:val="00263513"/>
    <w:rsid w:val="00263DD9"/>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4305"/>
    <w:rsid w:val="0032225E"/>
    <w:rsid w:val="00334430"/>
    <w:rsid w:val="003357F9"/>
    <w:rsid w:val="00336502"/>
    <w:rsid w:val="00342C04"/>
    <w:rsid w:val="0034383F"/>
    <w:rsid w:val="00343CA7"/>
    <w:rsid w:val="00346BB5"/>
    <w:rsid w:val="00346EB6"/>
    <w:rsid w:val="003567EF"/>
    <w:rsid w:val="00370A02"/>
    <w:rsid w:val="00371A1A"/>
    <w:rsid w:val="00371C2A"/>
    <w:rsid w:val="003728FC"/>
    <w:rsid w:val="00377403"/>
    <w:rsid w:val="00382C1A"/>
    <w:rsid w:val="00383503"/>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6022C"/>
    <w:rsid w:val="00561B88"/>
    <w:rsid w:val="005728DD"/>
    <w:rsid w:val="00580AA7"/>
    <w:rsid w:val="00586853"/>
    <w:rsid w:val="00590F11"/>
    <w:rsid w:val="005972C3"/>
    <w:rsid w:val="005A53D2"/>
    <w:rsid w:val="005A57FD"/>
    <w:rsid w:val="005B1AAB"/>
    <w:rsid w:val="005B4F35"/>
    <w:rsid w:val="005B79F1"/>
    <w:rsid w:val="005B7D49"/>
    <w:rsid w:val="005D7F39"/>
    <w:rsid w:val="005E4325"/>
    <w:rsid w:val="005E53A6"/>
    <w:rsid w:val="00604DDA"/>
    <w:rsid w:val="00610B01"/>
    <w:rsid w:val="006248F6"/>
    <w:rsid w:val="00624BEE"/>
    <w:rsid w:val="00635411"/>
    <w:rsid w:val="00635C53"/>
    <w:rsid w:val="00641BA8"/>
    <w:rsid w:val="0065755B"/>
    <w:rsid w:val="0066393C"/>
    <w:rsid w:val="006674DA"/>
    <w:rsid w:val="00673353"/>
    <w:rsid w:val="00673CC3"/>
    <w:rsid w:val="0069100F"/>
    <w:rsid w:val="00697524"/>
    <w:rsid w:val="006A1074"/>
    <w:rsid w:val="006A54F4"/>
    <w:rsid w:val="006A55A0"/>
    <w:rsid w:val="006C516C"/>
    <w:rsid w:val="006C703D"/>
    <w:rsid w:val="006D49A7"/>
    <w:rsid w:val="006E2272"/>
    <w:rsid w:val="006E25F7"/>
    <w:rsid w:val="006E4B4D"/>
    <w:rsid w:val="006F07C1"/>
    <w:rsid w:val="007073D6"/>
    <w:rsid w:val="0071485A"/>
    <w:rsid w:val="00721E83"/>
    <w:rsid w:val="007222FA"/>
    <w:rsid w:val="007256B2"/>
    <w:rsid w:val="0073220D"/>
    <w:rsid w:val="00737AB2"/>
    <w:rsid w:val="00742859"/>
    <w:rsid w:val="00743748"/>
    <w:rsid w:val="00754139"/>
    <w:rsid w:val="00763406"/>
    <w:rsid w:val="007710ED"/>
    <w:rsid w:val="007764AF"/>
    <w:rsid w:val="007768DF"/>
    <w:rsid w:val="00776C8E"/>
    <w:rsid w:val="00776F7C"/>
    <w:rsid w:val="00784292"/>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747B"/>
    <w:rsid w:val="008B5744"/>
    <w:rsid w:val="008C0959"/>
    <w:rsid w:val="008C7235"/>
    <w:rsid w:val="008D031D"/>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9AB"/>
    <w:rsid w:val="00B2196A"/>
    <w:rsid w:val="00B25965"/>
    <w:rsid w:val="00B301AA"/>
    <w:rsid w:val="00B3637B"/>
    <w:rsid w:val="00B408EB"/>
    <w:rsid w:val="00B52B76"/>
    <w:rsid w:val="00B55871"/>
    <w:rsid w:val="00B620D8"/>
    <w:rsid w:val="00B6307B"/>
    <w:rsid w:val="00B72209"/>
    <w:rsid w:val="00B95F16"/>
    <w:rsid w:val="00BA713A"/>
    <w:rsid w:val="00BB2039"/>
    <w:rsid w:val="00BB3407"/>
    <w:rsid w:val="00BB3DCD"/>
    <w:rsid w:val="00BB3E5D"/>
    <w:rsid w:val="00BB3F0A"/>
    <w:rsid w:val="00BD2683"/>
    <w:rsid w:val="00BD36B0"/>
    <w:rsid w:val="00BE0422"/>
    <w:rsid w:val="00BE5891"/>
    <w:rsid w:val="00BF6B9A"/>
    <w:rsid w:val="00C04F8C"/>
    <w:rsid w:val="00C14DA7"/>
    <w:rsid w:val="00C16801"/>
    <w:rsid w:val="00C17EB8"/>
    <w:rsid w:val="00C20475"/>
    <w:rsid w:val="00C21FEB"/>
    <w:rsid w:val="00C22C0F"/>
    <w:rsid w:val="00C23A18"/>
    <w:rsid w:val="00C442B6"/>
    <w:rsid w:val="00C457E4"/>
    <w:rsid w:val="00C4619D"/>
    <w:rsid w:val="00C61C83"/>
    <w:rsid w:val="00C72925"/>
    <w:rsid w:val="00C81FFC"/>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53C64"/>
    <w:rsid w:val="00D65D14"/>
    <w:rsid w:val="00D66AF2"/>
    <w:rsid w:val="00D66B3E"/>
    <w:rsid w:val="00D71002"/>
    <w:rsid w:val="00D77B89"/>
    <w:rsid w:val="00D9070A"/>
    <w:rsid w:val="00D90D7F"/>
    <w:rsid w:val="00DA1BE6"/>
    <w:rsid w:val="00DA2EA7"/>
    <w:rsid w:val="00DA72C5"/>
    <w:rsid w:val="00DB2EA0"/>
    <w:rsid w:val="00DC2E4A"/>
    <w:rsid w:val="00DD1C16"/>
    <w:rsid w:val="00DD58FE"/>
    <w:rsid w:val="00DD7704"/>
    <w:rsid w:val="00DE3A85"/>
    <w:rsid w:val="00DE4412"/>
    <w:rsid w:val="00DE60B7"/>
    <w:rsid w:val="00DE67AA"/>
    <w:rsid w:val="00DF15A3"/>
    <w:rsid w:val="00DF255D"/>
    <w:rsid w:val="00DF7BB1"/>
    <w:rsid w:val="00E00770"/>
    <w:rsid w:val="00E0123D"/>
    <w:rsid w:val="00E02091"/>
    <w:rsid w:val="00E02F47"/>
    <w:rsid w:val="00E0314E"/>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7837-00CA-479F-88B2-B6D37C64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12529</Words>
  <Characters>71420</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Tashir 2</cp:lastModifiedBy>
  <cp:revision>4</cp:revision>
  <dcterms:created xsi:type="dcterms:W3CDTF">2025-01-13T07:20:00Z</dcterms:created>
  <dcterms:modified xsi:type="dcterms:W3CDTF">2025-01-16T06:46:00Z</dcterms:modified>
</cp:coreProperties>
</file>