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right"/>
        <w:rPr>
          <w:rFonts w:ascii="GHEA Grapalat" w:cs="GHEA Grapalat" w:eastAsia="GHEA Grapalat" w:hAnsi="GHEA Grapalat"/>
          <w:u w:val="single"/>
        </w:rPr>
      </w:pPr>
      <w:r w:rsidDel="00000000" w:rsidR="00000000" w:rsidRPr="00000000">
        <w:rPr>
          <w:rFonts w:ascii="GHEA Grapalat" w:cs="GHEA Grapalat" w:eastAsia="GHEA Grapalat" w:hAnsi="GHEA Grapalat"/>
          <w:u w:val="single"/>
          <w:rtl w:val="0"/>
        </w:rPr>
        <w:t xml:space="preserve">Հավելված 1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GHEA Grapalat" w:cs="GHEA Grapalat" w:eastAsia="GHEA Grapalat" w:hAnsi="GHEA Grapalat"/>
          <w:b w:val="1"/>
          <w:sz w:val="32"/>
          <w:szCs w:val="32"/>
        </w:rPr>
      </w:pPr>
      <w:r w:rsidDel="00000000" w:rsidR="00000000" w:rsidRPr="00000000">
        <w:rPr>
          <w:rFonts w:ascii="GHEA Grapalat" w:cs="GHEA Grapalat" w:eastAsia="GHEA Grapalat" w:hAnsi="GHEA Grapalat"/>
          <w:b w:val="1"/>
          <w:sz w:val="32"/>
          <w:szCs w:val="32"/>
          <w:rtl w:val="0"/>
        </w:rPr>
        <w:t xml:space="preserve">ՀԱՅՏ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GHEA Grapalat" w:cs="GHEA Grapalat" w:eastAsia="GHEA Grapalat" w:hAnsi="GHEA Grapalat"/>
          <w:sz w:val="28"/>
          <w:szCs w:val="28"/>
        </w:rPr>
      </w:pPr>
      <w:r w:rsidDel="00000000" w:rsidR="00000000" w:rsidRPr="00000000">
        <w:rPr>
          <w:rFonts w:ascii="GHEA Grapalat" w:cs="GHEA Grapalat" w:eastAsia="GHEA Grapalat" w:hAnsi="GHEA Grapalat"/>
          <w:sz w:val="28"/>
          <w:szCs w:val="28"/>
          <w:rtl w:val="0"/>
        </w:rPr>
        <w:t xml:space="preserve">ԳՄՀԸ կողմից իրականացվող «Ինտեգրված համայնքային զարգացում Հայաստանում» ծրագրի շրջանակներում գործընկեր համայնք դառնալու</w:t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GHEA Grapalat" w:cs="GHEA Grapalat" w:eastAsia="GHEA Grapalat" w:hAnsi="GHEA Grapal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0"/>
        <w:gridCol w:w="5528"/>
        <w:tblGridChange w:id="0">
          <w:tblGrid>
            <w:gridCol w:w="4390"/>
            <w:gridCol w:w="5528"/>
          </w:tblGrid>
        </w:tblGridChange>
      </w:tblGrid>
      <w:tr>
        <w:trPr>
          <w:cantSplit w:val="0"/>
          <w:trHeight w:val="850" w:hRule="atLeast"/>
          <w:tblHeader w:val="0"/>
        </w:trPr>
        <w:tc>
          <w:tcPr>
            <w:gridSpan w:val="2"/>
            <w:shd w:fill="b7d4ef" w:val="clear"/>
            <w:vAlign w:val="center"/>
          </w:tcPr>
          <w:p w:rsidR="00000000" w:rsidDel="00000000" w:rsidP="00000000" w:rsidRDefault="00000000" w:rsidRPr="00000000" w14:paraId="00000005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center"/>
              <w:rPr>
                <w:rFonts w:ascii="GHEA Grapalat" w:cs="GHEA Grapalat" w:eastAsia="GHEA Grapalat" w:hAnsi="GHEA Grapalat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color w:val="000000"/>
                <w:sz w:val="24"/>
                <w:szCs w:val="24"/>
                <w:rtl w:val="0"/>
              </w:rPr>
              <w:t xml:space="preserve">Համայնքի վերաբերյալ տեղեկություններ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Համայնքի անվանում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Տաշիր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9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Հասցե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tabs>
                <w:tab w:val="center" w:leader="none" w:pos="4680"/>
                <w:tab w:val="right" w:leader="none" w:pos="9360"/>
              </w:tabs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ՀՀ, Լոռու մարզ, ք.Տաշիր, Վ.Սարգսյան 94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B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Պաշտոնական վեբ-կայք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tabs>
                <w:tab w:val="center" w:leader="none" w:pos="4680"/>
                <w:tab w:val="right" w:leader="none" w:pos="9360"/>
              </w:tabs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https://tashircity.am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Բնակչություն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29505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Բնակավայրերի թիվ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1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Համայնքի ղեկավար անուն ազգանուն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Էդգար Արշակյան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Ավագանու անդամների թիվ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Ընդհանուր թիվ՝ 21</w:t>
            </w:r>
          </w:p>
          <w:p w:rsidR="00000000" w:rsidDel="00000000" w:rsidP="00000000" w:rsidRDefault="00000000" w:rsidRPr="00000000" w14:paraId="00000015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ind w:left="320" w:firstLine="0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որից կին՝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ind w:left="320" w:firstLine="0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որից տղամարդ՝ 1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Համայնքապետարանի աշխատակազմի թիվ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Ընդհանուր թիվ՝ 102</w:t>
            </w:r>
          </w:p>
          <w:p w:rsidR="00000000" w:rsidDel="00000000" w:rsidP="00000000" w:rsidRDefault="00000000" w:rsidRPr="00000000" w14:paraId="00000019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ind w:left="320" w:firstLine="0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որից կին՝ 58</w:t>
            </w:r>
          </w:p>
          <w:p w:rsidR="00000000" w:rsidDel="00000000" w:rsidP="00000000" w:rsidRDefault="00000000" w:rsidRPr="00000000" w14:paraId="0000001A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ind w:left="320" w:firstLine="0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որից տղամարդ՝ 44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center"/>
              <w:rPr>
                <w:rFonts w:ascii="GHEA Grapalat" w:cs="GHEA Grapalat" w:eastAsia="GHEA Grapalat" w:hAnsi="GHEA Grapalat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gridSpan w:val="2"/>
            <w:shd w:fill="b7d4ef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60" w:before="0" w:line="276" w:lineRule="auto"/>
              <w:ind w:left="360" w:right="0" w:hanging="360"/>
              <w:jc w:val="center"/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Համայնքապետարանից պատասխանատու անձ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Անուն Ազգանուն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Աստղիկ Բարոյան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Պաշտոն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222222"/>
                    <w:highlight w:val="white"/>
                    <w:rtl w:val="0"/>
                  </w:rPr>
                  <w:t xml:space="preserve">Զարգացման ծրագերի, առևտրի, սպասարկման, գովազդի և տուրիզմի բաժնի առաջատար մասնագետ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3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Էլ. փոստի հասցե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developmentprogramstashir@gmail.com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5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Հեռախոսահամար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+37494330476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GHEA Grapalat" w:cs="GHEA Grapalat" w:eastAsia="GHEA Grapalat" w:hAnsi="GHEA Grapal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GHEA Grapalat" w:cs="GHEA Grapalat" w:eastAsia="GHEA Grapalat" w:hAnsi="GHEA Grapala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991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18"/>
        <w:tblGridChange w:id="0">
          <w:tblGrid>
            <w:gridCol w:w="9918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shd w:fill="b7d4ef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60" w:before="120" w:line="276" w:lineRule="auto"/>
              <w:ind w:left="360" w:right="0" w:hanging="360"/>
              <w:jc w:val="center"/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ԸՆԴՀԱՆՈՒՐ ՏԵՂԵԿՈՒԹՅՈՒՆՆԵՐ (առավելագույնը 0.5 էջ)</w:t>
            </w:r>
          </w:p>
          <w:p w:rsidR="00000000" w:rsidDel="00000000" w:rsidP="00000000" w:rsidRDefault="00000000" w:rsidRPr="00000000" w14:paraId="0000002A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tabs>
                <w:tab w:val="center" w:leader="none" w:pos="4680"/>
                <w:tab w:val="right" w:leader="none" w:pos="9360"/>
              </w:tabs>
              <w:spacing w:after="120" w:line="276" w:lineRule="auto"/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  <w:rtl w:val="0"/>
              </w:rPr>
              <w:t xml:space="preserve">Նկարագրել համայնքի համար ծրագրի կարևորությունը, զարգացման ռազմավարության հետ առնչությունը, համայնքի առաջնահերթությունները, զարգացման ուղղությունները ու մարտահրավերները</w:t>
            </w:r>
          </w:p>
          <w:p w:rsidR="00000000" w:rsidDel="00000000" w:rsidP="00000000" w:rsidRDefault="00000000" w:rsidRPr="00000000" w14:paraId="0000002C">
            <w:pPr>
              <w:tabs>
                <w:tab w:val="center" w:leader="none" w:pos="4680"/>
                <w:tab w:val="right" w:leader="none" w:pos="9360"/>
              </w:tabs>
              <w:spacing w:after="120" w:line="276" w:lineRule="auto"/>
              <w:rPr>
                <w:rFonts w:ascii="GHEA Grapalat" w:cs="GHEA Grapalat" w:eastAsia="GHEA Grapalat" w:hAnsi="GHEA Grapalat"/>
                <w:i w:val="1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Համայնքի զարգացման ծրագիրը կարևոր նշանակություն ունի բնակչության կենսամակարդակի բարձրացման, տեղական տնտեսության ամրապնդման և սոցիալ-տնտեսական կայունության ապահովման համար: Ներկայումս Տաշիր համայնքը բախվում է տարբեր մարտահրավերների, ինչպիսիք են գործազրկությունը, արտագաղթը, ինչպես նաև բնապահպանական և ենթակառուցվածքային խնդիրները: Այս խնդիրների հաղթահարումը պահանջում է հավասարակշռված և համապարփակ զարգացում, որը հիմնված է երկարաժամկետ ռազմավարությունների վրա:</w:t>
                </w:r>
              </w:sdtContent>
            </w:sdt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2"/>
                    <w:szCs w:val="22"/>
                    <w:rtl w:val="0"/>
                  </w:rPr>
                  <w:t xml:space="preserve">1. Ծրագրի կարևորությունը համայնքի համար</w:t>
                </w:r>
              </w:sdtContent>
            </w:sdt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Ծրագրերի իրականացումընպաստում է համայնքի ընդհանուր բարեկեցությանը՝ ապահովելով արդյունավետ կառավարում, տեղական ռեսուրսների ճիշտ օգտագործում և ծառայությունների մատուցման որակի բարձրացում: Ծրագրերի միջոցով հնարավոր կլինի բարելավել համայնքի բնակիչների կենսապայմանները, ինչպես նաև ստեղծել նոր տնտեսական հնարավորություններ, որոնք կնպաստեն համայնքի սոցիալ-տնտեսական զարգացմանը:</w:t>
                </w:r>
              </w:sdtContent>
            </w:sdt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2"/>
                    <w:szCs w:val="22"/>
                    <w:rtl w:val="0"/>
                  </w:rPr>
                  <w:t xml:space="preserve">2. Զարգացման ռազմավարության հետ առնչությունը</w:t>
                </w:r>
              </w:sdtContent>
            </w:sdt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Ծրագրերը լիովին համահունչ է համայնքի զարգացման ռազմավարությանը, որի հիմնական նպատակներն են բնակչության կենսամակարդակի բարձրացումը, ենթակառուցվածքների արդիականացումը և տեղական տնտեսության զարգացումը: Այս ռազմավարությունը միտված է բնակչության անհրաժեշտությունների բավարարմանը, ինչպես նաև համայնքի կայուն և երկարաժամկետ զարգացման ապահովմանը: </w:t>
                </w:r>
              </w:sdtContent>
            </w:sdt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3. Համայնքի առաջնահերթությունները</w:t>
                </w:r>
              </w:sdtContent>
            </w:sdt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Համայնքի առաջնահերթություններն են.</w:t>
                </w:r>
              </w:sdtContent>
            </w:sdt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Բնակչության համար մատչելի և որակյալ ծառայությունների մատուցում</w:t>
                </w:r>
              </w:sdtContent>
            </w:sdt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Տեղական տնտեսության զարգացում և նոր աշխատատեղերի ստեղծում</w:t>
                </w:r>
              </w:sdtContent>
            </w:sdt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Կրթական և սոցիալական ծրագրերի իրականացում</w:t>
                </w:r>
              </w:sdtContent>
            </w:sdt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Բնապահպանական խնդիրների լուծում և կայուն զարգացում</w:t>
                </w:r>
              </w:sdtContent>
            </w:sdt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Ինտեգրացված համայնքային կառավարում և արդյունավետ մոնիտորինգ</w:t>
                </w:r>
              </w:sdtContent>
            </w:sdt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2"/>
                    <w:szCs w:val="22"/>
                    <w:rtl w:val="0"/>
                  </w:rPr>
                  <w:t xml:space="preserve">4. Զարգացման ուղղություններ</w:t>
                </w:r>
              </w:sdtContent>
            </w:sdt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Համայնքի զարգացման հիմնական ուղղությունները ներառում են.</w:t>
                </w:r>
              </w:sdtContent>
            </w:sdt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Տնտեսական զարգացում:</w:t>
                </w:r>
              </w:sdtContent>
            </w:sdt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Ներդրումներ փոքր և միջին բիզնեսներում, ձեռներեցության խթանում և նոր շուկաների ձևավորում:</w:t>
                </w:r>
              </w:sdtContent>
            </w:sdt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Համայնքային ենթակառուցվածքներ:</w:t>
                </w:r>
              </w:sdtContent>
            </w:sdt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Ճանապարհների, ջրամատակարարման և կոյուղիների համակարգերի բարելավում:</w:t>
                </w:r>
              </w:sdtContent>
            </w:sdt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Սոցիալական ոլորտի զարգացում:</w:t>
                </w:r>
              </w:sdtContent>
            </w:sdt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Կրթական և առողջապահական ծառայությունների մատչելիության և որակի բարձրացում:</w:t>
                </w:r>
              </w:sdtContent>
            </w:sdt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Բնապահպանական կառավարում:</w:t>
                </w:r>
              </w:sdtContent>
            </w:sdt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Վերականգնվող էներգիայի աղբյուրների օգտագործում, աղբի վերամշակում և կանաչապատում:</w:t>
                </w:r>
              </w:sdtContent>
            </w:sdt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5. Մարտահրավերներ</w:t>
                </w:r>
              </w:sdtContent>
            </w:sdt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Ծրագրի իրականացման ճանապարհին համայնքը բախվում է մի շարք մարտահրավերների, ինչպիսիք են՝</w:t>
                </w:r>
              </w:sdtContent>
            </w:sdt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Ֆինանսավորման պակաս</w:t>
                </w:r>
              </w:sdtContent>
            </w:sdt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Բնապահպանական ռիսկեր</w:t>
                </w:r>
              </w:sdtContent>
            </w:sdt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Վերջին 2 տարում համայնքում եղան ֆորս-մաժորային իրավիճակներ, ինչպիսիք էին ուժեղ քամին և Տաշիր գետի վարարումը։</w:t>
                </w:r>
              </w:sdtContent>
            </w:sdt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HEA Grapalat" w:cs="GHEA Grapalat" w:eastAsia="GHEA Grapalat" w:hAnsi="GHEA Grapalat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Հաշվի առնելով նշված առաջնահերթությունները, ռազմավարությունները, զարգացման ուղղությունները և մարտահրավերները, համայնքի զարգացման ծրագիրը կարևոր քայլ է սոցիալ-տնտեսական կայունության և համապարփակ առաջընթացի ապահովման ուղղությամբ: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after="240" w:before="240" w:line="276" w:lineRule="auto"/>
        <w:rPr>
          <w:rFonts w:ascii="GHEA Grapalat" w:cs="GHEA Grapalat" w:eastAsia="GHEA Grapalat" w:hAnsi="GHEA Grapal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1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18"/>
        <w:tblGridChange w:id="0">
          <w:tblGrid>
            <w:gridCol w:w="9918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shd w:fill="b7d4ef" w:val="clear"/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60" w:before="120" w:line="276" w:lineRule="auto"/>
              <w:ind w:left="360" w:right="0" w:hanging="360"/>
              <w:jc w:val="center"/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ՀԱՄԱԳՈՐԾԱԿՑՈՒԹՅԱՆ ԱՌԱՋԱՐԿՎՈՂ ՈՒՂՂՈՒԹՅՈՒՆՆԵՐ (առավելագույնը 2 էջ)</w:t>
            </w:r>
          </w:p>
          <w:p w:rsidR="00000000" w:rsidDel="00000000" w:rsidP="00000000" w:rsidRDefault="00000000" w:rsidRPr="00000000" w14:paraId="00000047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tabs>
                <w:tab w:val="center" w:leader="none" w:pos="4680"/>
                <w:tab w:val="right" w:leader="none" w:pos="9360"/>
              </w:tabs>
              <w:spacing w:after="40" w:line="276" w:lineRule="auto"/>
              <w:rPr>
                <w:rFonts w:ascii="GHEA Grapalat" w:cs="GHEA Grapalat" w:eastAsia="GHEA Grapalat" w:hAnsi="GHEA Grapalat"/>
                <w:i w:val="1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1"/>
                <w:color w:val="404040"/>
                <w:sz w:val="18"/>
                <w:szCs w:val="18"/>
                <w:rtl w:val="0"/>
              </w:rPr>
              <w:t xml:space="preserve">Խնդրում ենք նկատի ունենալ, որ առավել բարձր միավորներ կտրվեն այն համայնքներին, որոնք.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tabs>
                <w:tab w:val="center" w:leader="none" w:pos="4680"/>
                <w:tab w:val="right" w:leader="none" w:pos="9360"/>
              </w:tabs>
              <w:spacing w:line="276" w:lineRule="auto"/>
              <w:ind w:left="511" w:hanging="227"/>
              <w:rPr>
                <w:rFonts w:ascii="GHEA Grapalat" w:cs="GHEA Grapalat" w:eastAsia="GHEA Grapalat" w:hAnsi="GHEA Grapalat"/>
                <w:i w:val="1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i w:val="1"/>
                <w:color w:val="404040"/>
                <w:sz w:val="18"/>
                <w:szCs w:val="18"/>
                <w:rtl w:val="0"/>
              </w:rPr>
              <w:t xml:space="preserve">կներկայացնեն նորարար գաղափարներ/համագործակցության ոլորտներ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1"/>
              </w:numPr>
              <w:tabs>
                <w:tab w:val="center" w:leader="none" w:pos="4680"/>
                <w:tab w:val="right" w:leader="none" w:pos="9360"/>
              </w:tabs>
              <w:spacing w:line="276" w:lineRule="auto"/>
              <w:ind w:left="511" w:hanging="227"/>
              <w:rPr>
                <w:rFonts w:ascii="GHEA Grapalat" w:cs="GHEA Grapalat" w:eastAsia="GHEA Grapalat" w:hAnsi="GHEA Grapalat"/>
                <w:i w:val="1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i w:val="1"/>
                <w:color w:val="404040"/>
                <w:sz w:val="18"/>
                <w:szCs w:val="18"/>
                <w:rtl w:val="0"/>
              </w:rPr>
              <w:t xml:space="preserve">կներկայացնեն միջհամայնքային համագործակցության ծրագրային գաղափարներ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tabs>
                <w:tab w:val="center" w:leader="none" w:pos="4680"/>
                <w:tab w:val="right" w:leader="none" w:pos="9360"/>
              </w:tabs>
              <w:spacing w:after="120" w:line="276" w:lineRule="auto"/>
              <w:ind w:left="511" w:hanging="227"/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i w:val="1"/>
                <w:color w:val="404040"/>
                <w:sz w:val="18"/>
                <w:szCs w:val="18"/>
                <w:rtl w:val="0"/>
              </w:rPr>
              <w:t xml:space="preserve">հայտերում անդրադարձ կկատարեն կանանց և տղամարդկանց իրավահավասարության ու ներառականությանը (հաշվի առնելով տեղահանված անձանց, հաշմանդամություն ունեցող անձանց, ազգային փոքրամասնությունների կարիքները)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left w:color="000000" w:space="0" w:sz="0" w:val="nil"/>
              <w:bottom w:color="000000" w:space="0" w:sz="4" w:val="dashed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C">
            <w:p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rPr>
                <w:rFonts w:ascii="GHEA Grapalat" w:cs="GHEA Grapalat" w:eastAsia="GHEA Grapalat" w:hAnsi="GHEA Grapalat"/>
                <w:b w:val="1"/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bottom w:color="000000" w:space="0" w:sz="4" w:val="dashed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ind w:left="794" w:right="0" w:hanging="510"/>
              <w:jc w:val="left"/>
              <w:rPr>
                <w:rFonts w:ascii="GHEA Grapalat" w:cs="GHEA Grapalat" w:eastAsia="GHEA Grapalat" w:hAnsi="GHEA Grapalat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Առաջարկել հնարավոր ոլորտային և վարչական ծառայություններ՝ նպատակ ունենալով բարելավել դրանց մատչելիությունն ու որակը (հատկապես հաշվի առնելով առավել խոցելի խմբերի կարիքները), պարզեցնել ընթացակարգերը, բարելավել թափանցիկություն ու հաշվետվողականությունը</w:t>
            </w:r>
          </w:p>
        </w:tc>
      </w:tr>
      <w:tr>
        <w:trPr>
          <w:cantSplit w:val="0"/>
          <w:trHeight w:val="3288" w:hRule="atLeast"/>
          <w:tblHeader w:val="0"/>
        </w:trPr>
        <w:tc>
          <w:tcPr>
            <w:tcBorders>
              <w:top w:color="000000" w:space="0" w:sz="4" w:val="dashed"/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4E">
            <w:pPr>
              <w:pStyle w:val="Heading2"/>
              <w:spacing w:after="0" w:before="0" w:line="240" w:lineRule="auto"/>
              <w:ind w:left="0"/>
              <w:jc w:val="center"/>
              <w:rPr>
                <w:rFonts w:ascii="Arial" w:cs="Arial" w:eastAsia="Arial" w:hAnsi="Arial"/>
                <w:b w:val="1"/>
              </w:rPr>
            </w:pPr>
            <w:bookmarkStart w:colFirst="0" w:colLast="0" w:name="_heading=h.1mr8116szjfx" w:id="0"/>
            <w:bookmarkEnd w:id="0"/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Լեռնահովիտ բնակավայրում անհատական աղբամանների տեղադրում</w:t>
                </w:r>
              </w:sdtContent>
            </w:sdt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Հայեցակարգ.</w:t>
                </w:r>
              </w:sdtContent>
            </w:sdt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Համայնքի կողմից իրականացնենք ծրագիր, որի միջոցով Լեռնահովիտ բնակավայրում կտեղադրվեն աղբամաններ՝ աղբահանության իրականացման  արդյունավետությունը բարելավելու, բնակավայրում մաքրությունը պահպանելու և շրջակա միջավայրի վրա ազդեցությունը փոքրացնելու համար:</w:t>
                </w:r>
              </w:sdtContent>
            </w:sdt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Լեռնահովիտ բնակավայրը գտնվում է Տաշիր քաղաքից մոտ 8 կմ հյուսիս-արևելք։ </w:t>
                </w:r>
              </w:sdtContent>
            </w:sdt>
            <w:hyperlink r:id="rId7">
              <w:r w:rsidDel="00000000" w:rsidR="00000000" w:rsidRPr="00000000">
                <w:rPr>
                  <w:rFonts w:ascii="Arial" w:cs="Arial" w:eastAsia="Arial" w:hAnsi="Arial"/>
                  <w:rtl w:val="0"/>
                </w:rPr>
                <w:t xml:space="preserve">2017</w:t>
              </w:r>
            </w:hyperlink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թվականից մտնում է </w:t>
                </w:r>
              </w:sdtContent>
            </w:sdt>
            <w:hyperlink r:id="rId8">
              <w:r w:rsidDel="00000000" w:rsidR="00000000" w:rsidRPr="00000000">
                <w:rPr>
                  <w:rFonts w:ascii="Arial" w:cs="Arial" w:eastAsia="Arial" w:hAnsi="Arial"/>
                  <w:rtl w:val="0"/>
                </w:rPr>
                <w:t xml:space="preserve">Տաշիր</w:t>
              </w:r>
            </w:hyperlink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համայնքի կազմի մեջ։ </w:t>
                </w:r>
              </w:sdtContent>
            </w:sdt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Գյուղում գործում է մանկապարտեզ և միջնակարգ դպրոց։ Լեռնահովիտում ապրում է 1656 անձ, որից 167-ը կամ 36 ընտանիք</w:t>
                </w:r>
              </w:sdtContent>
            </w:sdt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2023թ․-ն Արցախից տեղահանված փախստականներ են, 840-ը կանայք, 351-ը՝  երեխաներ, մոտ 250-ը՝ թոշակառու և 27 սոցիալապես անապահով ընտանիք։</w:t>
                </w:r>
              </w:sdtContent>
            </w:sdt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Հիմնական բաղադրիչներ.</w:t>
                </w:r>
              </w:sdtContent>
            </w:sdt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Գնահատում.</w:t>
                </w:r>
              </w:sdtContent>
            </w:sdt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Սկսեք բնակավայրում աղբի կառավարման ընթացիկ գործելակերպի, ենթակառուցվածքների և կարիքների մանրակրկիտ գնահատմամբ: Սա ներառում է բնակչության խտության, տարբեր սոցիալական խմբերի  և հեռացման գոյություն ունեցող մեթոդների ըմբռնումը:</w:t>
                </w:r>
              </w:sdtContent>
            </w:sdt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Աղբամանների տեղադրման ռազմավարություն</w:t>
                </w:r>
              </w:sdtContent>
            </w:sdt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 Գնահատման հիման վրա մշակեք աղբամանների տեղադրման հարմարեցված ռազմավարություն: Սա ներառում է աղբամանների օպտիմալ վայրերի որոշում՝ բնակիչների համար մատչելիություն և հարմարավետություն ապահովելու համար:</w:t>
                </w:r>
              </w:sdtContent>
            </w:sdt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Խորհրդակցություն և համագործակցություն.</w:t>
                </w:r>
              </w:sdtContent>
            </w:sdt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սերտորեն աշխատեք բնակիչների հետ՝ տեղեկատվություն հավաքելու, մտահոգությունները լուծելու և ծրագրի համար առաջարկներ ստանալու համար: Համագործակցությունը բարձրացնում է ծրագրի արդյունավետությունը:</w:t>
                </w:r>
              </w:sdtContent>
            </w:sdt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Իրականացում և տեղադրում. Ռազմավարությունը վերջնական տեսքի բերելուց հետո սկսենք աղբամանների տեղադրումը նախանշված վայրերում: Համոզվեք, որ աղբամանները ապահով և հարմար են իրենց նպատակային նշանակության համար:</w:t>
                </w:r>
              </w:sdtContent>
            </w:sdt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Իրազեկում.</w:t>
                </w:r>
              </w:sdtContent>
            </w:sdt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Սկսեք իրազեկման արշավ՝ բնակիչներին տեղեկացնելու նոր աղբարկղերի տեղադրման, դրանց արդյունավետության  և բնապահպանական օգուտների մասին: </w:t>
                </w:r>
              </w:sdtContent>
            </w:sdt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Մշտադիտարկում և սպասարկում.</w:t>
                </w:r>
              </w:sdtContent>
            </w:sdt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Պարբերաբար վերահսկեք աղբամանների օգտագործումը և պայմանները՝ ցանկացած խնդիր անհապաղ լուծելու համար, ինչպիսիք են լցված աղբամանները կամ աղտոտվածությունը: Սահմանենք  սպասարկման ժամանակացույց՝ ապահովելու համար, որ աղբամանները պարբերաբար դատարկվեն և մաքրվեն:</w:t>
                </w:r>
              </w:sdtContent>
            </w:sdt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Օգուտները․ </w:t>
                </w:r>
              </w:sdtContent>
            </w:sdt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Աղբահանության արդյունավետ կառավարում.</w:t>
                </w:r>
              </w:sdtContent>
            </w:sdt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աղբարկղերի արդյունավետ տեղադրումը նվազեցնում է աղբը։</w:t>
                </w:r>
              </w:sdtContent>
            </w:sdt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Շրջակա միջավայրի վրա ազդեցություն.</w:t>
                </w:r>
              </w:sdtContent>
            </w:sdt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նվազեցնում է աղբավայրերի թափոնները՝ նպաստելով շրջակա միջավայրի պահպանմանը:</w:t>
                </w:r>
              </w:sdtContent>
            </w:sdt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Համայնքի ներգրավվածություն.</w:t>
                </w:r>
              </w:sdtContent>
            </w:sdt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խթանում է համայնքային մասնակցությունը բնապահպանական նախաձեռնություններին` բարձրացնելով սոցիալական համախմբվածությունը և պատասխանատվությունը:</w:t>
                </w:r>
              </w:sdtContent>
            </w:sdt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Եկամուտի մոդել.</w:t>
                </w:r>
              </w:sdtContent>
            </w:sdt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Համայնքային եկամտի ապահովում.</w:t>
                </w:r>
              </w:sdtContent>
            </w:sdt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Համայնքի կողմից աղբամանների շարունակական կառավարման և պահպանման համար վճարների գանձում:</w:t>
                </w:r>
              </w:sdtContent>
            </w:sdt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Իրականացման քայլեր.</w:t>
                </w:r>
              </w:sdtContent>
            </w:sdt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Հետազոտություն և պլանավորում.</w:t>
                </w:r>
              </w:sdtContent>
            </w:sdt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Կատարել մանրակրկիտ հետազոտություն աղբի կառավարման հետ կապված, բնակավայրի ժողովրդագրության և առկա ենթակառուցվածքների վերաբերյալ:</w:t>
                </w:r>
              </w:sdtContent>
            </w:sdt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Բնակիչների ներգրավվածություն.</w:t>
                </w:r>
              </w:sdtContent>
            </w:sdt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շահագրգիռ կողմերի հետ կազմակերպեք  հանդիպումներ, հարցումներ՝ հասկանալու նրանց կարիքներն ու նախասիրությունները:</w:t>
                </w:r>
              </w:sdtContent>
            </w:sdt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Դիզայն և ռազմավարության մշակում.</w:t>
                </w:r>
              </w:sdtContent>
            </w:sdt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Մշակել աղբամանների տեղադրման համապարփակ ռազմավարություն, որը հարմարեցված է բնակավայրի պահանջներին՝ հաշվի առնելով մատչելիությունը, երթևեկությունը և շրջակա միջավայրի վրա ազդեցությունը:</w:t>
                </w:r>
              </w:sdtContent>
            </w:sdt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Տեղադրում և գործարկում.</w:t>
                </w:r>
              </w:sdtContent>
            </w:sdt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Աղբամանների տեղադրում՝ համաձայն հաստատված ռազմավարության՝ ապահովելով մատչելիություն: </w:t>
                </w:r>
              </w:sdtContent>
            </w:sdt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Իրազեկման արշավի կազմակերպում` պատշաճ օգտագործմանը նպաստելու համար:</w:t>
                </w:r>
              </w:sdtContent>
            </w:sdt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Մոնիտորինգ և գնահատում.</w:t>
                </w:r>
              </w:sdtContent>
            </w:sdt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Հետևեք ծրագրի առաջընթացին` բնակիչների հետ հետադարձ կապի միջոցով: Գնահատենք արդյունավետությունը և անհրաժեշտության դեպքում կատարենք ճշգրտումներ:</w:t>
                </w:r>
              </w:sdtContent>
            </w:sdt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Այս գաղափարը ոչ միայն անդրադառնում է բնապահպանական խնդիրներին, այլև բարձրացնում է համայնքի բարեկեցությունը՝ աղբի կառավարման ակտիվ լուծումների միջոցով:</w:t>
                </w:r>
              </w:sdtContent>
            </w:sdt>
          </w:p>
          <w:p w:rsidR="00000000" w:rsidDel="00000000" w:rsidP="00000000" w:rsidRDefault="00000000" w:rsidRPr="00000000" w14:paraId="00000067">
            <w:pPr>
              <w:spacing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Style w:val="Heading2"/>
              <w:spacing w:after="0" w:before="0" w:line="240" w:lineRule="auto"/>
              <w:ind w:left="0"/>
              <w:jc w:val="center"/>
              <w:rPr>
                <w:rFonts w:ascii="Arial" w:cs="Arial" w:eastAsia="Arial" w:hAnsi="Arial"/>
                <w:b w:val="1"/>
              </w:rPr>
            </w:pPr>
            <w:bookmarkStart w:colFirst="0" w:colLast="0" w:name="_heading=h.9ulwcz9mfunq" w:id="1"/>
            <w:bookmarkEnd w:id="1"/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Էլեկտրոնային միջքաղաքային տրանսպորտ</w:t>
                </w:r>
              </w:sdtContent>
            </w:sdt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Էլեկտրոնային միջքաղաքային տրանսպորիտի գործարկումը Տաշիր քաղաքում։</w:t>
                </w:r>
              </w:sdtContent>
            </w:sdt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Տաշիր քաղաքը գտնվում է Լոռու մարզի Տաշիր համայնքում, մայրաքաղաքից հեռու է 163 կմ, իսկ մարզկենտրոնից՝ 52կմ։ </w:t>
                </w:r>
              </w:sdtContent>
            </w:sdt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Տաշիրում ապրում է 12119 անձ, որից 434-ը կամ 120 ընտանիք</w:t>
                </w:r>
              </w:sdtContent>
            </w:sdt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2023թ․-ն Արցախից տեղահանված փախստականներ են, 3646-ը կանայք, 2288-ը՝ երեխաներ, մոտ 2100-ը՝ թոշակառու և 262 սոցիալապես անապահով ընտանիք։</w:t>
                </w:r>
              </w:sdtContent>
            </w:sdt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Միջքաղաքային տրանսպորտ Տաշիրում չի գործում։</w:t>
                </w:r>
              </w:sdtContent>
            </w:sdt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Քաղաքի երկարությունը կազմում է մոտ 6․5 կմ-ից ավելի է և քաղաքի տարբեր մասերից կենտրոն հասնելը բավականին ժամանակ է խլում բնակիչներից։ Քաղաքի երկու ծայրամասերից՝ Արևային և Անի թաղամասերից քաղաքի կենտրոն ոտքով հասնելը տևում է մոտ 50 րոպե, իսկ մեծահասակների դեպում ավելի երկար։</w:t>
                </w:r>
              </w:sdtContent>
            </w:sdt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Քաղաքում գրանցված տաքսի ծառայություն, որը իրականացնում է ներքաղաքային երթևեկ, չկա։ Եվ քաղաքի կենտրոն գալը, որտեղ տեղակայված են հիմնական առևտրային, կապի և այլ ծառայությունները, կատարվում է բացառապես ոտքով։ Իսկ արդեն քաղաքի կենտրոնական մասից անհատ անձանց տաքսիներով հնարավոր է գնալ, որի նվազագույն արժեքը 500 դրամ է, և այն կարող է փոփոխվել, բնակչի տան և կենտրոնից ավելի հեռու լինելու դեպքում։</w:t>
                </w:r>
              </w:sdtContent>
            </w:sdt>
          </w:p>
          <w:p w:rsidR="00000000" w:rsidDel="00000000" w:rsidP="00000000" w:rsidRDefault="00000000" w:rsidRPr="00000000" w14:paraId="0000006F">
            <w:pPr>
              <w:spacing w:line="240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Տրանսպորտի հիմնական շահառուներ մեծահասակները, դպրոց և մանկապարտեզ հաճախող երեխաները և նրանց ծնողները, աշխատանքի գնացող և աշխատանքից վերադարձող անձիք։</w:t>
                </w:r>
              </w:sdtContent>
            </w:sdt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Էլեկտրոնային միջքաղաքային տրանսպորտի ձեռքբերումը լուծում է ժամանակակից քաղաքային և միջքաղաքային տրանսպորտային համակարգերի մի քանի կարևոր կարիքներ.</w:t>
                </w:r>
              </w:sdtContent>
            </w:sdt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1. Բնապահպանական կայունություն.</w:t>
                </w:r>
              </w:sdtContent>
            </w:sdt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u w:val="none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Նվազեցված արտանետումներ.</w:t>
                </w:r>
              </w:sdtContent>
            </w:sdt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Էլեկտրոնային միջքաղաքային տրանսպորտը՝  էլեկտրական ավտոբուսը, զգալիորեն նվազեցնում է ջերմոցային գազերի արտանետումները՝ համեմատած ավանդական հանածո վառելիքով աշխատող մեքենաների հետ: Սա օգնում է պայքարել օդի աղտոտվածության դեմ և մեղմել կլիմայի փոփոխության ազդեցությունը:</w:t>
                </w:r>
              </w:sdtContent>
            </w:sdt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Աղմուկի նվազեցում.</w:t>
                </w:r>
              </w:sdtContent>
            </w:sdt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Էլեկտրական մեքենաներն ավելի անաղմուկ են, քան ներքին այրման շարժիչներով մեքենաները, ինչը նպաստում է քաղաքային և բնակելի թաղամասերի աղմուկի աղտոտվածության նվազեցմանը:</w:t>
                </w:r>
              </w:sdtContent>
            </w:sdt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2. Էներգաարդյունավետություն․</w:t>
                </w:r>
              </w:sdtContent>
            </w:sdt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Ավելի մեծ արդյունավետություն.</w:t>
                </w:r>
              </w:sdtContent>
            </w:sdt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Էլեկտրական մեքենաներն ավելի էներգաարդյունավետ են, քան սովորական մեքենաները:</w:t>
                </w:r>
              </w:sdtContent>
            </w:sdt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Վերականգնողական արգելակում.</w:t>
                </w:r>
              </w:sdtContent>
            </w:sdt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Շատ էլեկտրական մեքենաներ օգտագործում են վերականգնողական արգելակում, որն արգելակման ժամանակ վերականգնում է էներգիան և այն նորից պահում մարտկոցի մեջ՝ հետագայում բարձրացնելով արդյունավետությունը:</w:t>
                </w:r>
              </w:sdtContent>
            </w:sdt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3. Հանրային առողջություն և կյանքի որակ.</w:t>
                </w:r>
              </w:sdtContent>
            </w:sdt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Օդի բարելավված որակ.</w:t>
                </w:r>
              </w:sdtContent>
            </w:sdt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Նվազեցնելով աղտոտիչների արտանետումները, էլեկտրոնային միջքաղաքային տրանսպորտը նպաստում է ավելի մաքուր օդին, ինչը կարևոր է հանրային առողջության համար, հատկապես քաղաքային բնակավայրերում:</w:t>
                </w:r>
              </w:sdtContent>
            </w:sdt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Ավելի քիչ ծանրաբեռնվածություն.</w:t>
                </w:r>
              </w:sdtContent>
            </w:sdt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Արդյունավետ հասարակական տրանսպորտի համակարգերը կարող են նվազեցնել երթևեկության գերբեռնվածությունը՝ խրախուսելով ավելի քիչ մասնավոր տրանսպորտային միջոցներով ուղևորությունները, ինչը կհանգեցնի երթևեկության ավելի հարթ հոսքի և ավելի քիչ ժամանակ ծախսելու:</w:t>
                </w:r>
              </w:sdtContent>
            </w:sdt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4. Տեխնոլոգիական առաջընթաց:</w:t>
                </w:r>
              </w:sdtContent>
            </w:sdt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Նորարարություն և զարգացում․</w:t>
                </w:r>
              </w:sdtContent>
            </w:sdt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էլեկտրոնային միջքաղաքային տրանսպորտում ներդրումները խթանում են մարտկոցների տեխնոլոգիայի, լիցքավորման ենթակառուցվածքի և շարժունակության խելացի լուծումների նորարարությունը:</w:t>
                </w:r>
              </w:sdtContent>
            </w:sdt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Ինտեգրում վերականգնվող էներգիայի հետ.</w:t>
                </w:r>
              </w:sdtContent>
            </w:sdt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Էլեկտրական տրանսպորտային համակարգերը կարող են ինտեգրվել վերականգնվող էներգիայի աղբյուրների հետ, ինչպիսիք են արևային կամ քամու էներգիան, ավելի մեծացնելով դրանց բնապահպանական առավելությունները:</w:t>
                </w:r>
              </w:sdtContent>
            </w:sdt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5. Սեփականություն և մատչելիություն․</w:t>
                </w:r>
              </w:sdtContent>
            </w:sdt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Մատչելի տրանսպորտ.</w:t>
                </w:r>
              </w:sdtContent>
            </w:sdt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Էլեկտրոնային միջքաղաքային տրանսպորտը կարող է բարելավել հաշմանդամություն ունեցող կամ սահմանափակ շարժունակությամբ մարդկանց հասանելիությունը՝ առաջարկելով ավելի ներառական տրանսպորտային տարբերակներ:</w:t>
                </w:r>
              </w:sdtContent>
            </w:sdt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Մատչելիություն.</w:t>
                </w:r>
              </w:sdtContent>
            </w:sdt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Ժամանակի ընթացքում, քանի որ տեխնոլոգիաները զարգանում են և արտադրությունը մեծանում է, ակնկալվում է, որ էլեկտրական մեքենաները կդառնան ավելի մատչելի և հասանելի օգտվողների ավելի լայն շրջանակի համար:</w:t>
                </w:r>
              </w:sdtContent>
            </w:sdt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6. Կառավարության քաղաքականությունը և նպատակները.</w:t>
                </w:r>
              </w:sdtContent>
            </w:sdt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Քաղաքականության աջակցություն.</w:t>
                </w:r>
              </w:sdtContent>
            </w:sdt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Մեր նպատակն է նվազեցնել արտանետումները և խթանել կայուն տրանսպորտային կապի ստեղծմանը: Էլեկտրոնային միջքաղաքային տրանսպորտում ներդրումներն օգնում են հասնել այս նպատակներին և ցույց են տալիս հավատարմությունը շրջակա միջավայրի պահպանմանը:</w:t>
                </w:r>
              </w:sdtContent>
            </w:sdt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7. Ճկունություն և ապագայի պաշտպանություն.</w:t>
                </w:r>
              </w:sdtContent>
            </w:sdt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Կլիմայի դիմացկունություն.</w:t>
                </w:r>
              </w:sdtContent>
            </w:sdt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Քանի որ քաղաքներն ու շրջանները ծրագրում են կլիմայի դիմացկունություն, էլեկտրոնային միջքաղաքային տրանսպորտի ընդունումը նվազեցնում է կախվածությունը հանածո վառելիքից՝ տրանսպորտային համակարգերը դարձնելով ավելի դիմացկուն ապագա էներգետիկ խափանումների նկատմամբ:</w:t>
                </w:r>
              </w:sdtContent>
            </w:sdt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Ապագայի պաշտպանություն.</w:t>
                </w:r>
              </w:sdtContent>
            </w:sdt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Էլեկտրական տրանսպորտի տեխնոլոգիաներում ներդրումները նախապատրաստում են քաղաքներն ու շրջանները ապագա կանոնակարգերի և շուկայի շրջադարձերի համար դեպի ավելի մաքուր և կայուն տրանսպորտային լուծումներ:</w:t>
                </w:r>
              </w:sdtContent>
            </w:sdt>
          </w:p>
          <w:p w:rsidR="00000000" w:rsidDel="00000000" w:rsidP="00000000" w:rsidRDefault="00000000" w:rsidRPr="00000000" w14:paraId="00000085">
            <w:pPr>
              <w:spacing w:line="240" w:lineRule="auto"/>
              <w:jc w:val="both"/>
              <w:rPr>
                <w:rFonts w:ascii="GHEA Grapalat" w:cs="GHEA Grapalat" w:eastAsia="GHEA Grapalat" w:hAnsi="GHEA Grapalat"/>
                <w:sz w:val="20"/>
                <w:szCs w:val="20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Ամփոփելով, էլեկտրոնային միջքաղաքային տրանսպորտի ձեռքբերումը էական նշանակություն ունի քաղաքային և միջքաղաքային տրանսպորտի հետ կապված բնապահպանական, տնտեսական և սոցիալական մարտահրավերներին դիմակայելու համար: Այն աջակցում է կայունության նպատակներին, բարելավում է հանրային առողջությունը, խթանում է տեխնոլոգիական նորարարությունը, բարձրացնում է արդարությունն ու մատչելիությունը և համահունչ է կլիմայի փոփոխության դեմ պայքարի գլոբալ ջանքերին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6">
            <w:p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rPr>
                <w:rFonts w:ascii="GHEA Grapalat" w:cs="GHEA Grapalat" w:eastAsia="GHEA Grapalat" w:hAnsi="GHEA Grapalat"/>
                <w:b w:val="1"/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tcBorders>
              <w:top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ind w:left="794" w:right="0" w:hanging="510"/>
              <w:jc w:val="left"/>
              <w:rPr>
                <w:rFonts w:ascii="GHEA Grapalat" w:cs="GHEA Grapalat" w:eastAsia="GHEA Grapalat" w:hAnsi="GHEA Grapalat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Ներկայացնել համայնք-մասնավոր համագործակցությամբ տնտեսական զարգացմանը, ձեռնարկատիրության խթանմանը և աշխատատեղերի ստեղծմանն (հաշվի առնելով առավել խոցելի խմբերի ներառումը) ուղղված ծրագրային գաղափարներ</w:t>
            </w:r>
          </w:p>
        </w:tc>
      </w:tr>
      <w:tr>
        <w:trPr>
          <w:cantSplit w:val="0"/>
          <w:trHeight w:val="4535" w:hRule="atLeast"/>
          <w:tblHeader w:val="0"/>
        </w:trPr>
        <w:tc>
          <w:tcPr>
            <w:tcBorders>
              <w:top w:color="000000" w:space="0" w:sz="4" w:val="dashed"/>
            </w:tcBorders>
            <w:shd w:fill="f2f2f2" w:val="clear"/>
          </w:tcPr>
          <w:p w:rsidR="00000000" w:rsidDel="00000000" w:rsidP="00000000" w:rsidRDefault="00000000" w:rsidRPr="00000000" w14:paraId="00000088">
            <w:pPr>
              <w:pStyle w:val="Heading2"/>
              <w:spacing w:after="0" w:before="0" w:line="276" w:lineRule="auto"/>
              <w:ind w:left="0"/>
              <w:jc w:val="center"/>
              <w:rPr>
                <w:rFonts w:ascii="Arial" w:cs="Arial" w:eastAsia="Arial" w:hAnsi="Arial"/>
                <w:b w:val="1"/>
              </w:rPr>
            </w:pPr>
            <w:bookmarkStart w:colFirst="0" w:colLast="0" w:name="_heading=h.hkv6fk6zt6id" w:id="2"/>
            <w:bookmarkEnd w:id="2"/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Գովազդային էկրանի տեղադրում</w:t>
                </w:r>
              </w:sdtContent>
            </w:sdt>
          </w:p>
          <w:p w:rsidR="00000000" w:rsidDel="00000000" w:rsidP="00000000" w:rsidRDefault="00000000" w:rsidRPr="00000000" w14:paraId="00000089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Գաղափար.</w:t>
                </w:r>
              </w:sdtContent>
            </w:sdt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Համայնքի մասին ինֆորմացիայի, տուրիստական ենթակառուցվածքների նկարագրման և համայնքային ռեսուրսների փոխանակման հարթակ։</w:t>
                </w:r>
              </w:sdtContent>
            </w:sdt>
          </w:p>
          <w:p w:rsidR="00000000" w:rsidDel="00000000" w:rsidP="00000000" w:rsidRDefault="00000000" w:rsidRPr="00000000" w14:paraId="0000008B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Հայեցակարգ.</w:t>
                </w:r>
              </w:sdtContent>
            </w:sdt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Ստեղծեք հարթակ, որը կունենա 3 բաղադրիչ․</w:t>
                </w:r>
              </w:sdtContent>
            </w:sdt>
          </w:p>
          <w:p w:rsidR="00000000" w:rsidDel="00000000" w:rsidP="00000000" w:rsidRDefault="00000000" w:rsidRPr="00000000" w14:paraId="0000008C">
            <w:pPr>
              <w:numPr>
                <w:ilvl w:val="0"/>
                <w:numId w:val="20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Այն կներկայացնի համայնքային կյանքի հետաքրքիր և հիշարժան իրադարձությունները մեծ էկրանով, </w:t>
                </w:r>
              </w:sdtContent>
            </w:sdt>
          </w:p>
          <w:p w:rsidR="00000000" w:rsidDel="00000000" w:rsidP="00000000" w:rsidRDefault="00000000" w:rsidRPr="00000000" w14:paraId="0000008D">
            <w:pPr>
              <w:numPr>
                <w:ilvl w:val="0"/>
                <w:numId w:val="20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Էկրանի միջոցով կներկայացվեն համայնքային տուրիստական ենթակառուցվածքների վերաբերյալ ինֆորմացի և հոլովակներ՝ նպաստելով տուրիստների հոսքը նաև համայնքի գյուղական բնակավայրեր։</w:t>
                </w:r>
              </w:sdtContent>
            </w:sdt>
          </w:p>
          <w:p w:rsidR="00000000" w:rsidDel="00000000" w:rsidP="00000000" w:rsidRDefault="00000000" w:rsidRPr="00000000" w14:paraId="0000008E">
            <w:pPr>
              <w:numPr>
                <w:ilvl w:val="0"/>
                <w:numId w:val="20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Էկրանը գովազդի հարթակ կլինի նաև համայնքի մասնավոր, բիզնես գործունեություն ծավալող հատվածի, բնակիչների ռեսուրսների համար, ինչպիսիք են գործիքները, սարքավորումները, տրանսպորտային միջոցները և նույնիսկ հմտությունները/ծառայությունները, որը և կլինի ծրագրի հիմնական բաղադրիչը։</w:t>
                </w:r>
              </w:sdtContent>
            </w:sdt>
          </w:p>
          <w:p w:rsidR="00000000" w:rsidDel="00000000" w:rsidP="00000000" w:rsidRDefault="00000000" w:rsidRPr="00000000" w14:paraId="0000008F">
            <w:pPr>
              <w:spacing w:line="276" w:lineRule="auto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ԿԱՐԵՎՈՐ մասեր․</w:t>
                </w:r>
              </w:sdtContent>
            </w:sdt>
          </w:p>
          <w:p w:rsidR="00000000" w:rsidDel="00000000" w:rsidP="00000000" w:rsidRDefault="00000000" w:rsidRPr="00000000" w14:paraId="00000090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Ռեսուրսների ցանկեր.</w:t>
                </w:r>
              </w:sdtContent>
            </w:sdt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Բնակիչները կարող են գովազդի միջոցով կներկայացնեն այն իրերը, որոնք իրենք ունեն և ցանկանում են կիսվել, ինչպես նաև մանրամասներ վարձակալության վճարների (եթե այդպիսիք կան) և պայմանների վերաբերյալ:</w:t>
                </w:r>
              </w:sdtContent>
            </w:sdt>
          </w:p>
          <w:p w:rsidR="00000000" w:rsidDel="00000000" w:rsidP="00000000" w:rsidRDefault="00000000" w:rsidRPr="00000000" w14:paraId="00000091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Հմտությունների փոխանակում.</w:t>
                </w:r>
              </w:sdtContent>
            </w:sdt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Ներառեք բաժին, որտեղ անդամները կարող են առաջարկել իրենց հմտությունները կամ ծառայությունները (օրինակ՝ կրկնուսուցում, սանտեխնիկա և այլն)։</w:t>
                </w:r>
              </w:sdtContent>
            </w:sdt>
          </w:p>
          <w:p w:rsidR="00000000" w:rsidDel="00000000" w:rsidP="00000000" w:rsidRDefault="00000000" w:rsidRPr="00000000" w14:paraId="00000092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Տեղական շուկա.</w:t>
                </w:r>
              </w:sdtContent>
            </w:sdt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թույլ տվեք անդամներին գնել/վաճառել ապրանքներ տեղում՝ խթանելով շրջանաձև տնտեսությունը համայնքում:</w:t>
                </w:r>
              </w:sdtContent>
            </w:sdt>
          </w:p>
          <w:p w:rsidR="00000000" w:rsidDel="00000000" w:rsidP="00000000" w:rsidRDefault="00000000" w:rsidRPr="00000000" w14:paraId="00000093">
            <w:pPr>
              <w:spacing w:line="276" w:lineRule="auto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Օգուտները․</w:t>
                </w:r>
              </w:sdtContent>
            </w:sdt>
          </w:p>
          <w:p w:rsidR="00000000" w:rsidDel="00000000" w:rsidP="00000000" w:rsidRDefault="00000000" w:rsidRPr="00000000" w14:paraId="00000094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Համայնքի կառուցում.</w:t>
                </w:r>
              </w:sdtContent>
            </w:sdt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խթանում է համայնքի զգացումը` խրախուսելով բնակիչների միջև փոխգործակցությունն ու համագործակցությունը:</w:t>
                </w:r>
              </w:sdtContent>
            </w:sdt>
          </w:p>
          <w:p w:rsidR="00000000" w:rsidDel="00000000" w:rsidP="00000000" w:rsidRDefault="00000000" w:rsidRPr="00000000" w14:paraId="00000095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Ազդեցություն շրջակա միջավայրի վրա.</w:t>
                </w:r>
              </w:sdtContent>
            </w:sdt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խթանում է կայունությունը՝ խրախուսելով ռեսուրսների համատեղ օգտագործումը:</w:t>
                </w:r>
              </w:sdtContent>
            </w:sdt>
          </w:p>
          <w:p w:rsidR="00000000" w:rsidDel="00000000" w:rsidP="00000000" w:rsidRDefault="00000000" w:rsidRPr="00000000" w14:paraId="00000096">
            <w:pPr>
              <w:spacing w:line="276" w:lineRule="auto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Եկամուտի մոդել.</w:t>
                </w:r>
              </w:sdtContent>
            </w:sdt>
          </w:p>
          <w:p w:rsidR="00000000" w:rsidDel="00000000" w:rsidP="00000000" w:rsidRDefault="00000000" w:rsidRPr="00000000" w14:paraId="00000097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Գործարքի վճարներ</w:t>
                </w:r>
              </w:sdtContent>
            </w:sdt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 Համայնքի կողմից փոքր վճարի գանձում՝ հարթակի միջոցով իրականացվող յուրաքանչյուր գործարքի համար:</w:t>
                </w:r>
              </w:sdtContent>
            </w:sdt>
          </w:p>
          <w:p w:rsidR="00000000" w:rsidDel="00000000" w:rsidP="00000000" w:rsidRDefault="00000000" w:rsidRPr="00000000" w14:paraId="00000098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Գովազդային գործընկերների ձեռքբերում.</w:t>
                </w:r>
              </w:sdtContent>
            </w:sdt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Գործընկեր տեղական ձեռնարկությունների հետ՝ նպատակային գովազդի հնարավորությունների համար:</w:t>
                </w:r>
              </w:sdtContent>
            </w:sdt>
          </w:p>
          <w:p w:rsidR="00000000" w:rsidDel="00000000" w:rsidP="00000000" w:rsidRDefault="00000000" w:rsidRPr="00000000" w14:paraId="00000099">
            <w:pPr>
              <w:spacing w:line="276" w:lineRule="auto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Իրականացման քայլեր.</w:t>
                </w:r>
              </w:sdtContent>
            </w:sdt>
          </w:p>
          <w:p w:rsidR="00000000" w:rsidDel="00000000" w:rsidP="00000000" w:rsidRDefault="00000000" w:rsidRPr="00000000" w14:paraId="0000009A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Շուկայի հետազոտություն.</w:t>
                </w:r>
              </w:sdtContent>
            </w:sdt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Գնահատեք տեղական համայնքի կարիքներն ու շահերը հարցումների և ֆոկուս խմբերի միջոցով:</w:t>
                </w:r>
              </w:sdtContent>
            </w:sdt>
          </w:p>
          <w:p w:rsidR="00000000" w:rsidDel="00000000" w:rsidP="00000000" w:rsidRDefault="00000000" w:rsidRPr="00000000" w14:paraId="0000009B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Համայնքում իրազեկում. </w:t>
                </w:r>
              </w:sdtContent>
            </w:sdt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Գործարկել փորձնական ծրագրով կոնկրետ թաղամասում կամ համայնքում` հայեցակարգը փորձարկելու և արձագանքներ հավաքելու համար:</w:t>
                </w:r>
              </w:sdtContent>
            </w:sdt>
          </w:p>
          <w:p w:rsidR="00000000" w:rsidDel="00000000" w:rsidP="00000000" w:rsidRDefault="00000000" w:rsidRPr="00000000" w14:paraId="0000009C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rtl w:val="0"/>
                  </w:rPr>
                  <w:t xml:space="preserve">Ընդլայնում</w:t>
                </w:r>
              </w:sdtContent>
            </w:sdt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 ընդլայնել հարթակը, որպեսզի ընդգրկի ավելի մեծ աշխարհագրական տարածքներ, քանի որ ընդունումը մեծանում է:</w:t>
                </w:r>
              </w:sdtContent>
            </w:sdt>
          </w:p>
          <w:p w:rsidR="00000000" w:rsidDel="00000000" w:rsidP="00000000" w:rsidRDefault="00000000" w:rsidRPr="00000000" w14:paraId="0000009D">
            <w:pPr>
              <w:spacing w:line="276" w:lineRule="auto"/>
              <w:jc w:val="both"/>
              <w:rPr>
                <w:rFonts w:ascii="GHEA Grapalat" w:cs="GHEA Grapalat" w:eastAsia="GHEA Grapalat" w:hAnsi="GHEA Grapalat"/>
                <w:sz w:val="20"/>
                <w:szCs w:val="20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Համատեղելով տնտեսական խթանները համայնքային համագործակցության հետ՝ այս գաղափարը ոչ միայն լուծում է գործնական կարիքները, այլև մեծացնում է սոցիալական կապիտալը համայնքում: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left w:color="000000" w:space="0" w:sz="0" w:val="nil"/>
              <w:bottom w:color="000000" w:space="0" w:sz="4" w:val="dashed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E">
            <w:p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rPr>
                <w:rFonts w:ascii="GHEA Grapalat" w:cs="GHEA Grapalat" w:eastAsia="GHEA Grapalat" w:hAnsi="GHEA Grapalat"/>
                <w:b w:val="1"/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tcBorders>
              <w:bottom w:color="000000" w:space="0" w:sz="4" w:val="dashed"/>
            </w:tcBorders>
            <w:shd w:fill="d9d9d9" w:val="clea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ind w:left="794" w:right="0" w:hanging="510"/>
              <w:jc w:val="left"/>
              <w:rPr>
                <w:rFonts w:ascii="GHEA Grapalat" w:cs="GHEA Grapalat" w:eastAsia="GHEA Grapalat" w:hAnsi="GHEA Grapalat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Առաջարկել համայնքի կառավարչական գործառույթների բարելավմանն ուղղված գործողություններ/կարիքներ, ինչպիսիք են որոշումների կայացման գործընթացները, մարդկային ռեսուրսների կառավարումը, պլանավորումն ու բյուջետավարումը, բնակիչների մասնակցությունը</w:t>
            </w:r>
          </w:p>
        </w:tc>
      </w:tr>
      <w:tr>
        <w:trPr>
          <w:cantSplit w:val="0"/>
          <w:trHeight w:val="4535" w:hRule="atLeast"/>
          <w:tblHeader w:val="0"/>
        </w:trPr>
        <w:tc>
          <w:tcPr>
            <w:tcBorders>
              <w:top w:color="000000" w:space="0" w:sz="4" w:val="dashed"/>
            </w:tcBorders>
            <w:shd w:fill="f2f2f2" w:val="clea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Զբոսաշրջության ռեսուրսների քարտեզագրումը</w:t>
                </w:r>
              </w:sdtContent>
            </w:sdt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Զբոսաշրջության ռեսուրսների քարտեզագրումը շատ կարևոր է մի քանի պատճառներով, հատկապես զբոսաշրջային ուղղությունների արդյունավետ պլանավորման և զարգացման գործում: Ահա մի քանի հիմնական պատճառ, թե ինչու է զբոսաշրջային ռեսուրսների քարտեզագրումը էական.</w:t>
                </w:r>
              </w:sdtContent>
            </w:sdt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1. Տեսարժան վայրերի  ներկայացում.</w:t>
                </w:r>
              </w:sdtContent>
            </w:sdt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Բնական և մշակութային ռեսուրսներ. Քարտեզագրումն օգնում է բացահայտել և ցուցակագրել բնական արժեքները, ինչպիսիք են գեղատեսիլ լանդշաֆտները, մշակութային ռեսուրսները, ինչպիսիք են պատմական վայրերը, հուշարձանները և ավանդական գյուղերը:</w:t>
                </w:r>
              </w:sdtContent>
            </w:sdt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Ենթակառուցվածք. Զբոսաշրջային ենթակառուցվածքների քարտեզագրումը, ինչպիսիք են հյուրանոցները, ռեստորանները, տրանսպորտային ցանցերը և հանգստի օբյեկտները, օգնում են հասկանալու զբոսաշրջիկներին հասանելի առկա հարմարությունները:</w:t>
                </w:r>
              </w:sdtContent>
            </w:sdt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2. Պլանավորում և զարգացում:</w:t>
                </w:r>
              </w:sdtContent>
            </w:sdt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Ռազմավարական զարգացում. Քարտեզագրումը հնարավորություն է տալիս իշխանություններին և շահագրգիռ կողմերին ռազմավարական պլանավորել զբոսաշրջության ուղղությունների զարգացումը` հիմնվելով հայտնաբերված ռեսուրսների և գրավչությունների վրա:</w:t>
                </w:r>
              </w:sdtContent>
            </w:sdt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Ենթակառուցվածքի պլանավորում. Այն օգնում է որոշել, թե որտեղ պետք է կառուցվեն նոր ենթակառուցվածքներ (օրինակ՝ ճանապարհներ, այցելուների կենտրոններ)՝ աջակցելու զբոսաշրջության աճին՝ նվազագույնի հասցնելով շրջակա միջավայրի վրա ազդեցությունը:</w:t>
                </w:r>
              </w:sdtContent>
            </w:sdt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3. Խթանում և շուկայավարում:</w:t>
                </w:r>
              </w:sdtContent>
            </w:sdt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Նպատակակետի բրենդինգ. Քարտեզագրումն օգնում է ստեղծելու նպատակակետի յուրահատուկ ինքնություն՝ հիմնվելով նրա տարբեր գրավչությունների և ռեսուրսների վրա:</w:t>
                </w:r>
              </w:sdtContent>
            </w:sdt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Մարկետինգային ռազմավարություն. Մանրամասն քարտեզները և տեղեկատվությունը հեշտացնում են նպատակային մարքեթինգային արշավները` ցուցադրելով զբոսաշրջության առաջարկների բազմազանությունն ու հարստությունը պոտենցիալ այցելուներին:</w:t>
                </w:r>
              </w:sdtContent>
            </w:sdt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4. Կայունություն և պահպանություն․</w:t>
                </w:r>
              </w:sdtContent>
            </w:sdt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Ռեսուրսների կառավարում. Քարտեզագրումն օգնում է կառավարել զբոսաշրջության ազդեցությունը բնական և մշակութային ռեսուրսների վրա` բացահայտելով զգայուն տարածքները, որոնք պահանջում են պահպանման ջանքեր:</w:t>
                </w:r>
              </w:sdtContent>
            </w:sdt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Կրողունակություն. Այն օգնում է որոշել զբոսաշրջային վայրերի կրողունակությունը և նախագծել կայուն զբոսաշրջային պրակտիկաներ՝ երկարաժամկետ կենսունակություն ապահովելու համար:</w:t>
                </w:r>
              </w:sdtContent>
            </w:sdt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5. Զբոսաշրջիկների փորձի բարելավում:</w:t>
                </w:r>
              </w:sdtContent>
            </w:sdt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Այցելուների փորձ. Հասկանալով տեսարժան վայրերի և օբյեկտների բաշխվածությունը, զբոսաշրջային ռեսուրսների քարտեզագրումը օգնում է բարելավել այցելուների ընդհանուր փորձը, ապահովելով, որ զբոսաշրջիկները կարող են հեշտությամբ մուտք գործել և վայելել տարբեր տեսարժան վայրեր:</w:t>
                </w:r>
              </w:sdtContent>
            </w:sdt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Դիվերսիֆիկացում. Քարտեզագրումը խրախուսում է զբոսաշրջության տարբեր ապրանքների և փորձառությունների զարգացումը` ապահովելով այցելուների տարբեր հետաքրքրություններն ու նախասիրությունները:</w:t>
                </w:r>
              </w:sdtContent>
            </w:sdt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6. Քաղաքականություն և որոշումների կայացում․</w:t>
                </w:r>
              </w:sdtContent>
            </w:sdt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Քաղաքականության ձևակերպում. Քարտեզներն ու տվյալները արժեքավոր պատկերացումներ են տալիս քաղաքականություն մշակողների համար՝ մշակելու զբոսաշրջային քաղաքականություն, կանոնակարգեր և խթաններ, որոնք աջակցում են կայուն զբոսաշրջության զարգացմանը:</w:t>
                </w:r>
              </w:sdtContent>
            </w:sdt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Համայնքի ներգրավվածություն. Տեղական համայնքների ներգրավումը քարտեզագրման գործընթացում խթանում է համայնքի ներգրավվածությունը և սեփականության իրավունքը զբոսաշրջության զարգացման նախաձեռնություններում:</w:t>
                </w:r>
              </w:sdtContent>
            </w:sdt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7. Ռիսկերի կառավարում և արտակարգ իրավիճակների պատրաստվածություն</w:t>
                </w:r>
              </w:sdtContent>
            </w:sdt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Ռիսկերի գնահատում. Քարտեզագրումն օգնում է բացահայտելու հնարավոր ռիսկերն ու խոցելիությունը զբոսաշրջային ուղղություններում, ինչպիսիք են բնական աղետները կամ սոցիալ-քաղաքական անկարգությունները, հնարավորություն տալով ռիսկերի ակտիվ կառավարում և արտակարգ իրավիճակների պատրաստության պլանավորում:</w:t>
                </w:r>
              </w:sdtContent>
            </w:sdt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GHEA Grapalat" w:cs="GHEA Grapalat" w:eastAsia="GHEA Grapalat" w:hAnsi="GHEA Grapalat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Եզրափակելով, զբոսաշրջային ռեսուրսների քարտեզագրումը առանցքային դեր է խաղում կայուն զբոսաշրջության զարգացման խթանման, այցելուների փորձի բարելավման, ուղղությունների արդյունավետ խթանման և բնական և մշակութային արժեքների երկարաժամկետ պահպանման ապահովման գործում: Այն ծառայում է որպես հիմնարար գործիք շահագրգիռ կողմերի համար՝ տեղեկացված որոշումներ կայացնելու և ճկուն զբոսաշրջային ուղղություններ ստեղծելու համար, որոնք օգուտ են բերում ինչպես այցելուներին, այնպես էլ տեղական համայնքներին: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b7d4ef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60" w:before="120" w:line="276" w:lineRule="auto"/>
              <w:ind w:left="360" w:right="0" w:hanging="360"/>
              <w:jc w:val="center"/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ԾՐԱԳՐԻ ԱՐԴՅՈՒՆՔՆԵՐԻ ԿԵՆՍՈՒՆԱԿՈՒԹՅՈՒՆԸ (առավելագույնը 0.5 էջ)</w:t>
            </w:r>
          </w:p>
          <w:p w:rsidR="00000000" w:rsidDel="00000000" w:rsidP="00000000" w:rsidRDefault="00000000" w:rsidRPr="00000000" w14:paraId="000000B9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tabs>
                <w:tab w:val="center" w:leader="none" w:pos="4680"/>
                <w:tab w:val="right" w:leader="none" w:pos="9360"/>
              </w:tabs>
              <w:spacing w:after="120" w:line="276" w:lineRule="auto"/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  <w:rtl w:val="0"/>
              </w:rPr>
              <w:t xml:space="preserve">Նկարագրել՝ ինչպես է համայնքապետարանը ծրագրի ավարտից հետո ապահովելու արդյունքների կենսունակությունը (ֆինանսական, ինստիտուցիոնալ, այլ)</w:t>
            </w:r>
          </w:p>
        </w:tc>
      </w:tr>
      <w:tr>
        <w:trPr>
          <w:cantSplit w:val="0"/>
          <w:trHeight w:val="3969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BB">
            <w:pPr>
              <w:pStyle w:val="Heading2"/>
              <w:spacing w:after="0" w:before="0" w:lineRule="auto"/>
              <w:ind w:left="0"/>
              <w:jc w:val="left"/>
              <w:rPr>
                <w:rFonts w:ascii="Arial" w:cs="Arial" w:eastAsia="Arial" w:hAnsi="Arial"/>
                <w:b w:val="1"/>
              </w:rPr>
            </w:pPr>
            <w:bookmarkStart w:colFirst="0" w:colLast="0" w:name="_heading=h.7cmuagr418tk" w:id="3"/>
            <w:bookmarkEnd w:id="3"/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Լեռնահովիտ բնակավայրում անհատական աղբամանների տեղադրում</w:t>
                </w:r>
              </w:sdtContent>
            </w:sdt>
          </w:p>
          <w:p w:rsidR="00000000" w:rsidDel="00000000" w:rsidP="00000000" w:rsidRDefault="00000000" w:rsidRPr="00000000" w14:paraId="000000BC">
            <w:pPr>
              <w:pStyle w:val="Heading2"/>
              <w:spacing w:after="0" w:before="0" w:lineRule="auto"/>
              <w:ind w:left="0"/>
              <w:jc w:val="both"/>
              <w:rPr>
                <w:rFonts w:ascii="Arial" w:cs="Arial" w:eastAsia="Arial" w:hAnsi="Arial"/>
              </w:rPr>
            </w:pPr>
            <w:bookmarkStart w:colFirst="0" w:colLast="0" w:name="_heading=h.bvsdz338thr" w:id="4"/>
            <w:bookmarkEnd w:id="4"/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Անհատական աղբամանների տեղադրումից հետո համայնքի կողմից անհրաժեշտ է ձեռնարկել հետևյալ միջոցառումները՝ ապահովելու համար դրանց երկարաժամկետ պահպանումն ու արդյունավետ օգտագործումը:</w:t>
                </w:r>
              </w:sdtContent>
            </w:sdt>
          </w:p>
          <w:p w:rsidR="00000000" w:rsidDel="00000000" w:rsidP="00000000" w:rsidRDefault="00000000" w:rsidRPr="00000000" w14:paraId="000000BD">
            <w:pPr>
              <w:pStyle w:val="Heading2"/>
              <w:spacing w:after="0" w:before="0" w:lineRule="auto"/>
              <w:ind w:left="0"/>
              <w:jc w:val="both"/>
              <w:rPr>
                <w:rFonts w:ascii="Arial" w:cs="Arial" w:eastAsia="Arial" w:hAnsi="Arial"/>
              </w:rPr>
            </w:pPr>
            <w:bookmarkStart w:colFirst="0" w:colLast="0" w:name="_heading=h.bvsdz338thr" w:id="4"/>
            <w:bookmarkEnd w:id="4"/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1. Աղբամանների օգտագործման կանոնների սահմանում և իրազեկում</w:t>
                </w:r>
              </w:sdtContent>
            </w:sdt>
          </w:p>
          <w:p w:rsidR="00000000" w:rsidDel="00000000" w:rsidP="00000000" w:rsidRDefault="00000000" w:rsidRPr="00000000" w14:paraId="000000BE">
            <w:pPr>
              <w:pStyle w:val="Heading2"/>
              <w:spacing w:after="0" w:before="0" w:lineRule="auto"/>
              <w:ind w:left="0"/>
              <w:jc w:val="both"/>
              <w:rPr>
                <w:rFonts w:ascii="Arial" w:cs="Arial" w:eastAsia="Arial" w:hAnsi="Arial"/>
              </w:rPr>
            </w:pPr>
            <w:bookmarkStart w:colFirst="0" w:colLast="0" w:name="_heading=h.bvsdz338thr" w:id="4"/>
            <w:bookmarkEnd w:id="4"/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2. Պարբերական մոնիտորինգ և տեսչություն</w:t>
                </w:r>
              </w:sdtContent>
            </w:sdt>
          </w:p>
          <w:p w:rsidR="00000000" w:rsidDel="00000000" w:rsidP="00000000" w:rsidRDefault="00000000" w:rsidRPr="00000000" w14:paraId="000000BF">
            <w:pPr>
              <w:pStyle w:val="Heading2"/>
              <w:numPr>
                <w:ilvl w:val="0"/>
                <w:numId w:val="8"/>
              </w:numPr>
              <w:spacing w:after="0" w:before="0" w:lineRule="auto"/>
              <w:ind w:left="720" w:hanging="360"/>
              <w:jc w:val="both"/>
              <w:rPr>
                <w:rFonts w:ascii="Arial" w:cs="Arial" w:eastAsia="Arial" w:hAnsi="Arial"/>
                <w:u w:val="none"/>
              </w:rPr>
            </w:pPr>
            <w:bookmarkStart w:colFirst="0" w:colLast="0" w:name="_heading=h.bvsdz338thr" w:id="4"/>
            <w:bookmarkEnd w:id="4"/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Հատուկ թիմի կամ պատասխանատու անձանց կողմից պարբերական մոնիտորինգի իրականացում՝ աղբամանների վիճակի ստուգման և անհրաժեշտ վերանորոգումների ապահովման համար:</w:t>
                </w:r>
              </w:sdtContent>
            </w:sdt>
          </w:p>
          <w:p w:rsidR="00000000" w:rsidDel="00000000" w:rsidP="00000000" w:rsidRDefault="00000000" w:rsidRPr="00000000" w14:paraId="000000C0">
            <w:pPr>
              <w:pStyle w:val="Heading2"/>
              <w:numPr>
                <w:ilvl w:val="0"/>
                <w:numId w:val="8"/>
              </w:numPr>
              <w:spacing w:after="0" w:before="0" w:lineRule="auto"/>
              <w:ind w:left="720" w:hanging="360"/>
              <w:jc w:val="both"/>
              <w:rPr>
                <w:rFonts w:ascii="Arial" w:cs="Arial" w:eastAsia="Arial" w:hAnsi="Arial"/>
                <w:u w:val="none"/>
              </w:rPr>
            </w:pPr>
            <w:bookmarkStart w:colFirst="0" w:colLast="0" w:name="_heading=h.bvsdz338thr" w:id="4"/>
            <w:bookmarkEnd w:id="4"/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Տեխնիկական ստուգումներ, որոնք ներառում են աղբամանների մաքրության, վնասվածքների, առկա վիճակի գնահատում:</w:t>
                </w:r>
              </w:sdtContent>
            </w:sdt>
          </w:p>
          <w:p w:rsidR="00000000" w:rsidDel="00000000" w:rsidP="00000000" w:rsidRDefault="00000000" w:rsidRPr="00000000" w14:paraId="000000C1">
            <w:pPr>
              <w:pStyle w:val="Heading2"/>
              <w:spacing w:after="0" w:before="0" w:lineRule="auto"/>
              <w:ind w:left="0"/>
              <w:jc w:val="both"/>
              <w:rPr>
                <w:rFonts w:ascii="Arial" w:cs="Arial" w:eastAsia="Arial" w:hAnsi="Arial"/>
              </w:rPr>
            </w:pPr>
            <w:bookmarkStart w:colFirst="0" w:colLast="0" w:name="_heading=h.bvsdz338thr" w:id="4"/>
            <w:bookmarkEnd w:id="4"/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3. Աղբահանության ժամանակացույցի կազմում և պահպանման վերահսկում</w:t>
                </w:r>
              </w:sdtContent>
            </w:sdt>
          </w:p>
          <w:p w:rsidR="00000000" w:rsidDel="00000000" w:rsidP="00000000" w:rsidRDefault="00000000" w:rsidRPr="00000000" w14:paraId="000000C2">
            <w:pPr>
              <w:pStyle w:val="Heading2"/>
              <w:numPr>
                <w:ilvl w:val="0"/>
                <w:numId w:val="19"/>
              </w:numPr>
              <w:spacing w:after="0" w:before="0" w:lineRule="auto"/>
              <w:ind w:left="720" w:hanging="360"/>
              <w:jc w:val="both"/>
              <w:rPr>
                <w:rFonts w:ascii="Arial" w:cs="Arial" w:eastAsia="Arial" w:hAnsi="Arial"/>
                <w:u w:val="none"/>
              </w:rPr>
            </w:pPr>
            <w:bookmarkStart w:colFirst="0" w:colLast="0" w:name="_heading=h.bvsdz338thr" w:id="4"/>
            <w:bookmarkEnd w:id="4"/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Աղբահանության ժամանակացույցի հստակ սահմանում և դրա խիստ պահպանման ապահովում:</w:t>
                </w:r>
              </w:sdtContent>
            </w:sdt>
          </w:p>
          <w:p w:rsidR="00000000" w:rsidDel="00000000" w:rsidP="00000000" w:rsidRDefault="00000000" w:rsidRPr="00000000" w14:paraId="000000C3">
            <w:pPr>
              <w:pStyle w:val="Heading2"/>
              <w:numPr>
                <w:ilvl w:val="0"/>
                <w:numId w:val="19"/>
              </w:numPr>
              <w:spacing w:after="0" w:before="0" w:lineRule="auto"/>
              <w:ind w:left="720" w:hanging="360"/>
              <w:jc w:val="both"/>
              <w:rPr>
                <w:rFonts w:ascii="Arial" w:cs="Arial" w:eastAsia="Arial" w:hAnsi="Arial"/>
                <w:u w:val="none"/>
              </w:rPr>
            </w:pPr>
            <w:bookmarkStart w:colFirst="0" w:colLast="0" w:name="_heading=h.bvsdz338thr" w:id="4"/>
            <w:bookmarkEnd w:id="4"/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Հավաքման և տեղափոխման ծառայությունների արդյունավետության վերահսկում՝ ապահովելու աղբամանների ժամանակին դատարկումը:</w:t>
                </w:r>
              </w:sdtContent>
            </w:sdt>
          </w:p>
          <w:p w:rsidR="00000000" w:rsidDel="00000000" w:rsidP="00000000" w:rsidRDefault="00000000" w:rsidRPr="00000000" w14:paraId="000000C4">
            <w:pPr>
              <w:pStyle w:val="Heading2"/>
              <w:spacing w:after="0" w:before="0" w:lineRule="auto"/>
              <w:ind w:left="0"/>
              <w:jc w:val="both"/>
              <w:rPr>
                <w:rFonts w:ascii="Arial" w:cs="Arial" w:eastAsia="Arial" w:hAnsi="Arial"/>
              </w:rPr>
            </w:pPr>
            <w:bookmarkStart w:colFirst="0" w:colLast="0" w:name="_heading=h.bvsdz338thr" w:id="4"/>
            <w:bookmarkEnd w:id="4"/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4. Վերանորոգման և փոխարինման ծառայություններ</w:t>
                </w:r>
              </w:sdtContent>
            </w:sdt>
          </w:p>
          <w:p w:rsidR="00000000" w:rsidDel="00000000" w:rsidP="00000000" w:rsidRDefault="00000000" w:rsidRPr="00000000" w14:paraId="000000C5">
            <w:pPr>
              <w:pStyle w:val="Heading2"/>
              <w:numPr>
                <w:ilvl w:val="0"/>
                <w:numId w:val="6"/>
              </w:numPr>
              <w:spacing w:after="0" w:before="0" w:lineRule="auto"/>
              <w:ind w:left="720" w:hanging="360"/>
              <w:jc w:val="both"/>
              <w:rPr>
                <w:rFonts w:ascii="Arial" w:cs="Arial" w:eastAsia="Arial" w:hAnsi="Arial"/>
                <w:u w:val="none"/>
              </w:rPr>
            </w:pPr>
            <w:bookmarkStart w:colFirst="0" w:colLast="0" w:name="_heading=h.bvsdz338thr" w:id="4"/>
            <w:bookmarkEnd w:id="4"/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Աղբամանների վնասման դեպքում անհապաղ վերանորոգման կամ փոխարինման ծառայությունների տրամադրում:</w:t>
                </w:r>
              </w:sdtContent>
            </w:sdt>
          </w:p>
          <w:p w:rsidR="00000000" w:rsidDel="00000000" w:rsidP="00000000" w:rsidRDefault="00000000" w:rsidRPr="00000000" w14:paraId="000000C6">
            <w:pPr>
              <w:pStyle w:val="Heading2"/>
              <w:numPr>
                <w:ilvl w:val="0"/>
                <w:numId w:val="6"/>
              </w:numPr>
              <w:spacing w:after="0" w:before="0" w:lineRule="auto"/>
              <w:ind w:left="720" w:hanging="360"/>
              <w:jc w:val="both"/>
              <w:rPr>
                <w:rFonts w:ascii="Arial" w:cs="Arial" w:eastAsia="Arial" w:hAnsi="Arial"/>
                <w:u w:val="none"/>
              </w:rPr>
            </w:pPr>
            <w:bookmarkStart w:colFirst="0" w:colLast="0" w:name="_heading=h.bvsdz338thr" w:id="4"/>
            <w:bookmarkEnd w:id="4"/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Համագործակցություն բնկաիչների հետ, որպեսզի պահպանվի աղբամանների որակը և գործառնական վիճակը:</w:t>
                </w:r>
              </w:sdtContent>
            </w:sdt>
          </w:p>
          <w:p w:rsidR="00000000" w:rsidDel="00000000" w:rsidP="00000000" w:rsidRDefault="00000000" w:rsidRPr="00000000" w14:paraId="000000C7">
            <w:pPr>
              <w:pStyle w:val="Heading2"/>
              <w:spacing w:after="0" w:before="0" w:lineRule="auto"/>
              <w:ind w:left="0"/>
              <w:jc w:val="both"/>
              <w:rPr>
                <w:rFonts w:ascii="Arial" w:cs="Arial" w:eastAsia="Arial" w:hAnsi="Arial"/>
              </w:rPr>
            </w:pPr>
            <w:bookmarkStart w:colFirst="0" w:colLast="0" w:name="_heading=h.bvsdz338thr" w:id="4"/>
            <w:bookmarkEnd w:id="4"/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5. Համայնքի բնակիչների ներգրավում</w:t>
                </w:r>
              </w:sdtContent>
            </w:sdt>
          </w:p>
          <w:p w:rsidR="00000000" w:rsidDel="00000000" w:rsidP="00000000" w:rsidRDefault="00000000" w:rsidRPr="00000000" w14:paraId="000000C8">
            <w:pPr>
              <w:pStyle w:val="Heading2"/>
              <w:numPr>
                <w:ilvl w:val="0"/>
                <w:numId w:val="24"/>
              </w:numPr>
              <w:spacing w:after="0" w:before="0" w:lineRule="auto"/>
              <w:ind w:left="720" w:hanging="360"/>
              <w:jc w:val="both"/>
              <w:rPr>
                <w:rFonts w:ascii="Arial" w:cs="Arial" w:eastAsia="Arial" w:hAnsi="Arial"/>
                <w:u w:val="none"/>
              </w:rPr>
            </w:pPr>
            <w:bookmarkStart w:colFirst="0" w:colLast="0" w:name="_heading=h.bvsdz338thr" w:id="4"/>
            <w:bookmarkEnd w:id="4"/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Համայնքային միջոցառումներ և հանրային քննարկումներ, որտեղ բնակիչները կարող են արտահայտել իրենց կարծիքները աղբամանների պահպանման վերաբերյալ:</w:t>
                </w:r>
              </w:sdtContent>
            </w:sdt>
          </w:p>
          <w:p w:rsidR="00000000" w:rsidDel="00000000" w:rsidP="00000000" w:rsidRDefault="00000000" w:rsidRPr="00000000" w14:paraId="000000C9">
            <w:pPr>
              <w:pStyle w:val="Heading2"/>
              <w:numPr>
                <w:ilvl w:val="0"/>
                <w:numId w:val="24"/>
              </w:numPr>
              <w:spacing w:after="0" w:before="0" w:lineRule="auto"/>
              <w:ind w:left="720" w:hanging="360"/>
              <w:jc w:val="both"/>
              <w:rPr>
                <w:rFonts w:ascii="Arial" w:cs="Arial" w:eastAsia="Arial" w:hAnsi="Arial"/>
                <w:u w:val="none"/>
              </w:rPr>
            </w:pPr>
            <w:bookmarkStart w:colFirst="0" w:colLast="0" w:name="_heading=h.bvsdz338thr" w:id="4"/>
            <w:bookmarkEnd w:id="4"/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Համայնքային ծրագրերի և նախաձեռնությունների խրախուսում, որոնք ուղղված են աղբի ճիշտ կառավարմանը և աղբամանների պահպանմանը:</w:t>
                </w:r>
              </w:sdtContent>
            </w:sdt>
          </w:p>
          <w:p w:rsidR="00000000" w:rsidDel="00000000" w:rsidP="00000000" w:rsidRDefault="00000000" w:rsidRPr="00000000" w14:paraId="000000CA">
            <w:pPr>
              <w:pStyle w:val="Heading2"/>
              <w:spacing w:after="0" w:before="0" w:lineRule="auto"/>
              <w:ind w:left="0"/>
              <w:jc w:val="both"/>
              <w:rPr>
                <w:rFonts w:ascii="Arial" w:cs="Arial" w:eastAsia="Arial" w:hAnsi="Arial"/>
              </w:rPr>
            </w:pPr>
            <w:bookmarkStart w:colFirst="0" w:colLast="0" w:name="_heading=h.w62wa8whpbt" w:id="5"/>
            <w:bookmarkEnd w:id="5"/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Այս միջոցառումները կնպաստեն համայնքի մաքրության պահպանմանը, աղբահանության գործընթացի օպտիմալացմանը և աղբամանների երկարաժամկետ օգտագործմանը:</w:t>
                </w:r>
              </w:sdtContent>
            </w:sdt>
          </w:p>
          <w:p w:rsidR="00000000" w:rsidDel="00000000" w:rsidP="00000000" w:rsidRDefault="00000000" w:rsidRPr="00000000" w14:paraId="000000CB">
            <w:pPr>
              <w:pStyle w:val="Heading2"/>
              <w:spacing w:after="0" w:before="0" w:lineRule="auto"/>
              <w:ind w:left="0"/>
              <w:rPr>
                <w:rFonts w:ascii="Arial" w:cs="Arial" w:eastAsia="Arial" w:hAnsi="Arial"/>
                <w:b w:val="1"/>
              </w:rPr>
            </w:pPr>
            <w:bookmarkStart w:colFirst="0" w:colLast="0" w:name="_heading=h.lmgcflj61po" w:id="6"/>
            <w:bookmarkEnd w:id="6"/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Էլեկտրոնային միջքաղաքային տրանսպորտ</w:t>
                </w:r>
              </w:sdtContent>
            </w:sdt>
          </w:p>
          <w:p w:rsidR="00000000" w:rsidDel="00000000" w:rsidP="00000000" w:rsidRDefault="00000000" w:rsidRPr="00000000" w14:paraId="000000C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Էլեկտրոնային միջքաղաքային տրանսպորտի գործարկումից հետո անհրաժեշտ է համայնքի կողմից կազմակերպել հետևյալ միջոցառումները՝ ապահովելու դրա արդյունավետ աշխատանքը և երկարաժամկետ պահպանությունը:</w:t>
            </w:r>
          </w:p>
          <w:p w:rsidR="00000000" w:rsidDel="00000000" w:rsidP="00000000" w:rsidRDefault="00000000" w:rsidRPr="00000000" w14:paraId="000000C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 Պարբերական տեխնիկական սպասարկում</w:t>
            </w:r>
          </w:p>
          <w:p w:rsidR="00000000" w:rsidDel="00000000" w:rsidP="00000000" w:rsidRDefault="00000000" w:rsidRPr="00000000" w14:paraId="000000CE">
            <w:pPr>
              <w:numPr>
                <w:ilvl w:val="0"/>
                <w:numId w:val="4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Ապահովել տրանսպորտային միջոցների պարբերական տեխնիկական սպասարկումը, ներառյալ մարտկոցների ստուգումը, շարժիչների խնամքը և այլ կարևոր համակարգերի ստուգումը:</w:t>
            </w:r>
          </w:p>
          <w:p w:rsidR="00000000" w:rsidDel="00000000" w:rsidP="00000000" w:rsidRDefault="00000000" w:rsidRPr="00000000" w14:paraId="000000CF">
            <w:pPr>
              <w:numPr>
                <w:ilvl w:val="0"/>
                <w:numId w:val="4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Ներգրավել որակավորված մասնագետներ, ովքեր կարող են իրականացնել անհրաժեշտ վերանորոգման և տեխնիկական սպասարկման աշխատանքներ:</w:t>
            </w:r>
          </w:p>
          <w:p w:rsidR="00000000" w:rsidDel="00000000" w:rsidP="00000000" w:rsidRDefault="00000000" w:rsidRPr="00000000" w14:paraId="000000D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2. Լիցքավորման ենթակառուցվածքներ</w:t>
            </w:r>
          </w:p>
          <w:p w:rsidR="00000000" w:rsidDel="00000000" w:rsidP="00000000" w:rsidRDefault="00000000" w:rsidRPr="00000000" w14:paraId="000000D1">
            <w:pPr>
              <w:numPr>
                <w:ilvl w:val="0"/>
                <w:numId w:val="23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Նախնական փուլում լիցքավորել համայնքապետարանում, </w:t>
            </w:r>
          </w:p>
          <w:p w:rsidR="00000000" w:rsidDel="00000000" w:rsidP="00000000" w:rsidRDefault="00000000" w:rsidRPr="00000000" w14:paraId="000000D2">
            <w:pPr>
              <w:numPr>
                <w:ilvl w:val="0"/>
                <w:numId w:val="23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Տեղադրել և պահպանել լիցքավորման կայաններ՝ ապահովելով դրանց հասանելիությունը և արդյունավետությունը:</w:t>
            </w:r>
          </w:p>
          <w:p w:rsidR="00000000" w:rsidDel="00000000" w:rsidP="00000000" w:rsidRDefault="00000000" w:rsidRPr="00000000" w14:paraId="000000D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3. Օպերատիվ մոնիտորինգ և կառավարում</w:t>
            </w:r>
          </w:p>
          <w:p w:rsidR="00000000" w:rsidDel="00000000" w:rsidP="00000000" w:rsidRDefault="00000000" w:rsidRPr="00000000" w14:paraId="000000D4">
            <w:pPr>
              <w:numPr>
                <w:ilvl w:val="0"/>
                <w:numId w:val="18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Տվյալների վերլուծության միջոցով կանխատեսել հնարավոր տեխնիկական խնդիրները և կանխարգելել դրանք:</w:t>
            </w:r>
          </w:p>
          <w:p w:rsidR="00000000" w:rsidDel="00000000" w:rsidP="00000000" w:rsidRDefault="00000000" w:rsidRPr="00000000" w14:paraId="000000D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4. Տրանսպորտային միջոցների մաքրության ապահովում</w:t>
            </w:r>
          </w:p>
          <w:p w:rsidR="00000000" w:rsidDel="00000000" w:rsidP="00000000" w:rsidRDefault="00000000" w:rsidRPr="00000000" w14:paraId="000000D6">
            <w:pPr>
              <w:numPr>
                <w:ilvl w:val="0"/>
                <w:numId w:val="17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Պարբերաբար իրականացնել տրանսպորտային միջոցների ներքին և արտաքին մաքրում:</w:t>
            </w:r>
          </w:p>
          <w:p w:rsidR="00000000" w:rsidDel="00000000" w:rsidP="00000000" w:rsidRDefault="00000000" w:rsidRPr="00000000" w14:paraId="000000D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5. Բնապահպանական վերահսկողություն</w:t>
            </w:r>
          </w:p>
          <w:p w:rsidR="00000000" w:rsidDel="00000000" w:rsidP="00000000" w:rsidRDefault="00000000" w:rsidRPr="00000000" w14:paraId="000000D8">
            <w:pPr>
              <w:numPr>
                <w:ilvl w:val="0"/>
                <w:numId w:val="16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Կազմակերպել տեղեկատվական միջոցառումներ, որոնք կբարձրացնեն բնակիչների իրազեկվածությունը էլեկտրոնային տրանսպորտի էկոլոգիական օգուտների մասին:</w:t>
            </w:r>
          </w:p>
          <w:p w:rsidR="00000000" w:rsidDel="00000000" w:rsidP="00000000" w:rsidRDefault="00000000" w:rsidRPr="00000000" w14:paraId="000000D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6. Հասարակության հետ կապ և հետադարձ կապի ապահովում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9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Ստեղծել հաղորդակցման մեխանիզմներ, որոնց միջոցով բնակիչները կարող են հաղորդել իրենց խնդիրները, առաջարկությունները կամ դժգոհությունները տրանսպորտային համակարգի վերաբերյալ:</w:t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9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Պարբերաբար իրականացնել հարցումներ բնակիչների շրջանում՝ հավաքելու հետադարձ կապը և բարելավելու ծառայությունների որակը:</w:t>
            </w:r>
          </w:p>
          <w:p w:rsidR="00000000" w:rsidDel="00000000" w:rsidP="00000000" w:rsidRDefault="00000000" w:rsidRPr="00000000" w14:paraId="000000D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7. Ֆինանսական կառավարման և ծախսերի վերահսկում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15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Կազմակերպել ֆինանսական մոնիտորինգ՝ ապահովելու բյուջեի ճիշտ բաշխումը և սպասարկման ծախսերի արդյունավետ կառավարումը: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15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Ներդնել երկարաժամկետ ծրագրեր՝ ֆինանսական ռիսկերը նվազեցնելու և պահպանման ծախսերը օպտիմալացնելու համար:</w:t>
            </w:r>
          </w:p>
          <w:p w:rsidR="00000000" w:rsidDel="00000000" w:rsidP="00000000" w:rsidRDefault="00000000" w:rsidRPr="00000000" w14:paraId="000000E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Այս միջոցառումները կօգնեն համայնքին ապահովել էլեկտրոնային միջքաղաքային տրանսպորտի կայուն և արդյունավետ աշխատանքը, ինչը կնպաստի ոչ միայն բնակիչների հարմարավետ և անվտանգ տեղաշարժմանը, այլև համայնքի ընդհանուր զարգացմանը և էկոլոգիական իրավիճակի բարելավմանը:</w:t>
            </w:r>
          </w:p>
          <w:p w:rsidR="00000000" w:rsidDel="00000000" w:rsidP="00000000" w:rsidRDefault="00000000" w:rsidRPr="00000000" w14:paraId="000000E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spacing w:after="240" w:before="240" w:line="276" w:lineRule="auto"/>
        <w:rPr>
          <w:rFonts w:ascii="GHEA Grapalat" w:cs="GHEA Grapalat" w:eastAsia="GHEA Grapalat" w:hAnsi="GHEA Grapal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1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18"/>
        <w:tblGridChange w:id="0">
          <w:tblGrid>
            <w:gridCol w:w="9918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shd w:fill="b7d4ef" w:val="clear"/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</w:tabs>
              <w:spacing w:after="160" w:before="120" w:line="276" w:lineRule="auto"/>
              <w:ind w:left="360" w:right="0" w:hanging="360"/>
              <w:jc w:val="center"/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ՀԱՄԱՅՆՔԻ ՆԵՐԴՐՈՒՄԸ (առավելագույնը 0.5 էջ)</w:t>
            </w:r>
          </w:p>
          <w:p w:rsidR="00000000" w:rsidDel="00000000" w:rsidP="00000000" w:rsidRDefault="00000000" w:rsidRPr="00000000" w14:paraId="000000E4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tabs>
                <w:tab w:val="center" w:leader="none" w:pos="4680"/>
                <w:tab w:val="right" w:leader="none" w:pos="9360"/>
              </w:tabs>
              <w:spacing w:after="40" w:line="276" w:lineRule="auto"/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  <w:rtl w:val="0"/>
              </w:rPr>
              <w:t xml:space="preserve">Նկարագրել համայնքի ներդրումը.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0" w:before="0" w:line="276" w:lineRule="auto"/>
              <w:ind w:left="511" w:right="0" w:hanging="227"/>
              <w:jc w:val="left"/>
              <w:rPr>
                <w:rFonts w:ascii="GHEA Grapalat" w:cs="GHEA Grapalat" w:eastAsia="GHEA Grapalat" w:hAnsi="GHEA Grapalat"/>
                <w:b w:val="0"/>
                <w:i w:val="1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0"/>
                <w:i w:val="1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ֆինանսական՝, համաֆինանսավորման չափ և աղբյուր(ներ)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0" w:before="0" w:line="276" w:lineRule="auto"/>
              <w:ind w:left="511" w:right="0" w:hanging="227"/>
              <w:jc w:val="left"/>
              <w:rPr>
                <w:rFonts w:ascii="GHEA Grapalat" w:cs="GHEA Grapalat" w:eastAsia="GHEA Grapalat" w:hAnsi="GHEA Grapalat"/>
                <w:b w:val="0"/>
                <w:i w:val="1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0"/>
                <w:i w:val="1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բնեղեն ներդրում (օր.՝ համայնքային ակտիվներ, այլ).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20" w:before="0" w:line="276" w:lineRule="auto"/>
              <w:ind w:left="511" w:right="0" w:hanging="227"/>
              <w:jc w:val="left"/>
              <w:rPr>
                <w:rFonts w:ascii="GHEA Grapalat" w:cs="GHEA Grapalat" w:eastAsia="GHEA Grapalat" w:hAnsi="GHEA Grapalat"/>
                <w:b w:val="0"/>
                <w:i w:val="1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0"/>
                <w:i w:val="1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Մարդկային ռեսուրսներ՝ աշխատակազմ և այլ կառույցներ (պաշտոն, ստորաբաժանում, ծրագրի շրջանակներում գործառույթներ). hաշվի առնել կին և տղամարդ աշխատակիցների համաչափ ներգրավվածությունը</w:t>
            </w:r>
          </w:p>
        </w:tc>
      </w:tr>
      <w:tr>
        <w:trPr>
          <w:cantSplit w:val="0"/>
          <w:trHeight w:val="3969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E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 Ֆինանսական ներդրում՝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10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Համայնքը՝ վերոհիշյալ յրուքանչյուր ծրագրում կկատարի 20% համաֆինանսավորում, որըկարվի սեփական բյուջեից, ինչպես նաև ՄԺԾԾ-ում կներառի յրուաքանչյուր ծրագրի հետագա պահպանման ծախսերը։</w:t>
            </w:r>
          </w:p>
          <w:p w:rsidR="00000000" w:rsidDel="00000000" w:rsidP="00000000" w:rsidRDefault="00000000" w:rsidRPr="00000000" w14:paraId="000000E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2. Բնեղեն ներդրում</w:t>
            </w:r>
          </w:p>
          <w:p w:rsidR="00000000" w:rsidDel="00000000" w:rsidP="00000000" w:rsidRDefault="00000000" w:rsidRPr="00000000" w14:paraId="000000EC">
            <w:pPr>
              <w:numPr>
                <w:ilvl w:val="0"/>
                <w:numId w:val="12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Համայնքը կարող է տրամադրել շենքեր, տարածքներ, հողատարածքներ, ինչպես նաև այլ ֆիզիկական ռեսուրսներ, որոնք անհրաժեշտ են ծրագրի իրականացման համար։ Օրինակ՝ համայնքի կողմից տրամադրված տարածքում կարող է տեղադրվել գովազդային էկրանը։</w:t>
            </w:r>
          </w:p>
          <w:p w:rsidR="00000000" w:rsidDel="00000000" w:rsidP="00000000" w:rsidRDefault="00000000" w:rsidRPr="00000000" w14:paraId="000000E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3. Մարդկային ռեսուրսներ</w:t>
            </w:r>
          </w:p>
          <w:p w:rsidR="00000000" w:rsidDel="00000000" w:rsidP="00000000" w:rsidRDefault="00000000" w:rsidRPr="00000000" w14:paraId="000000EE">
            <w:pPr>
              <w:numPr>
                <w:ilvl w:val="0"/>
                <w:numId w:val="22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Համայնքը կներգրավի է աշխատակիցներ և այլ կառույցներ՝ ծրագրի իրականացման համար: Կներգրավվեն համայնքային ղեկավարության ներկայացուցիչներ, համապատասխան ոլորտների մասնագետներ, ինչպես նաև տեխնիկական աշխատակազմ։ Կարևոր է հաշվի առնել, որ ծրագրում ներգրավվեն ինչպես կին, այնպես էլ տղամարդ աշխատակիցներ՝ ապահովելով համաչափ ներգրավվածություն։</w:t>
            </w:r>
          </w:p>
          <w:p w:rsidR="00000000" w:rsidDel="00000000" w:rsidP="00000000" w:rsidRDefault="00000000" w:rsidRPr="00000000" w14:paraId="000000E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Այս բոլոր բաղադրիչները միավորվելով ապահովում են ծրագրերի հաջող իրականացումը՝ նպաստելով համայնքի կայուն զարգացմանը և սոցիալական կարիքների բավարարմանը։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spacing w:after="240" w:before="240" w:line="276" w:lineRule="auto"/>
        <w:rPr>
          <w:rFonts w:ascii="GHEA Grapalat" w:cs="GHEA Grapalat" w:eastAsia="GHEA Grapalat" w:hAnsi="GHEA Grapal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1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18"/>
        <w:tblGridChange w:id="0">
          <w:tblGrid>
            <w:gridCol w:w="9918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shd w:fill="b7d4ef" w:val="clear"/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60" w:before="120" w:line="276" w:lineRule="auto"/>
              <w:ind w:left="360" w:right="0" w:hanging="360"/>
              <w:jc w:val="center"/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ԱՅԼ ԴԵՐԱԿԱՏԱՐՆԵՐԻ ՀԵՏ ՀԱՄԱԳՈՐԾԱԿՑՈՒԹՅՈՒՆԸ </w:t>
              <w:br w:type="textWrapping"/>
              <w:t xml:space="preserve">(առավելագույնը 0.5 էջ)</w:t>
            </w:r>
          </w:p>
          <w:p w:rsidR="00000000" w:rsidDel="00000000" w:rsidP="00000000" w:rsidRDefault="00000000" w:rsidRPr="00000000" w14:paraId="000000F4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tabs>
                <w:tab w:val="center" w:leader="none" w:pos="4680"/>
                <w:tab w:val="right" w:leader="none" w:pos="9360"/>
              </w:tabs>
              <w:spacing w:after="40" w:line="276" w:lineRule="auto"/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  <w:rtl w:val="0"/>
              </w:rPr>
              <w:t xml:space="preserve">Նկարագրել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1"/>
                <w:color w:val="404040"/>
                <w:sz w:val="18"/>
                <w:szCs w:val="18"/>
                <w:rtl w:val="0"/>
              </w:rPr>
              <w:t xml:space="preserve">վերևում</w:t>
            </w:r>
            <w:r w:rsidDel="00000000" w:rsidR="00000000" w:rsidRPr="00000000"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1"/>
                <w:color w:val="404040"/>
                <w:sz w:val="18"/>
                <w:szCs w:val="18"/>
                <w:rtl w:val="0"/>
              </w:rPr>
              <w:t xml:space="preserve">առաջարկված ծրագրային գաղափարների շրջանակներում</w:t>
            </w:r>
            <w:r w:rsidDel="00000000" w:rsidR="00000000" w:rsidRPr="00000000"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  <w:rtl w:val="0"/>
              </w:rPr>
              <w:t xml:space="preserve"> այլ դերակատարների հետ համագործակցությունը (կառավարություն, ձեռնարկություններ, քաղհասարակություն, այլ) և վերջիններիս ներդրումը (եթե առկա է)</w:t>
            </w:r>
          </w:p>
        </w:tc>
      </w:tr>
      <w:tr>
        <w:trPr>
          <w:cantSplit w:val="0"/>
          <w:trHeight w:val="3969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F6">
            <w:p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Ներկայացված գաղափարի իրականացման համար անհրաժեշտ է համագործակցություն մի քանի դերակատարների միջև: Ահա այն հիմնական կողմերը, որոնց հետ համայնքը կարող է համագործակցել և նրանց հնարավոր ներդրումները.</w:t>
            </w:r>
          </w:p>
          <w:p w:rsidR="00000000" w:rsidDel="00000000" w:rsidP="00000000" w:rsidRDefault="00000000" w:rsidRPr="00000000" w14:paraId="000000F7">
            <w:p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1. Կառավարություն</w:t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5"/>
              </w:num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ind w:left="720" w:hanging="360"/>
              <w:rPr>
                <w:rFonts w:ascii="GHEA Grapalat" w:cs="GHEA Grapalat" w:eastAsia="GHEA Grapalat" w:hAnsi="GHEA Grapalat"/>
                <w:u w:val="no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Կառավարությունը կարող է աջակցել քաղաքական և օրենսդրական կարգավորման միջոցով, ապահովելով համապատասխան թույլտվություններ և արտոնություններ: </w:t>
            </w:r>
          </w:p>
          <w:p w:rsidR="00000000" w:rsidDel="00000000" w:rsidP="00000000" w:rsidRDefault="00000000" w:rsidRPr="00000000" w14:paraId="000000F9">
            <w:p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2.Մասնավոր ձեռնարկություններ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ind w:left="720" w:right="0" w:hanging="360"/>
              <w:jc w:val="left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Մասնավոր հատվածը կարող է համագորխակցել ծառայությունների մատուցման տեսանկյունից, դառնալով ծառայություն մատուցող և ծառայությունից օգտվող։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ind w:left="720" w:right="0" w:firstLine="0"/>
              <w:jc w:val="left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Գովազդային էկրանի տեղադրումը հիանալի հարթակ կլինի մասնավորի հետ համագործակցության և շրջանաձև տնտեսության զարգացման համար։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ind w:left="720" w:right="0" w:firstLine="0"/>
              <w:jc w:val="left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Ծրագրում կանխատեսվում է նաև տուրիստական ընկերությունների հետ համագործակցությունը։</w:t>
            </w:r>
          </w:p>
          <w:p w:rsidR="00000000" w:rsidDel="00000000" w:rsidP="00000000" w:rsidRDefault="00000000" w:rsidRPr="00000000" w14:paraId="000000FD">
            <w:p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3. Համայնքներ</w:t>
            </w:r>
          </w:p>
          <w:p w:rsidR="00000000" w:rsidDel="00000000" w:rsidP="00000000" w:rsidRDefault="00000000" w:rsidRPr="00000000" w14:paraId="000000FE">
            <w:pPr>
              <w:numPr>
                <w:ilvl w:val="0"/>
                <w:numId w:val="2"/>
              </w:num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ind w:left="720" w:hanging="360"/>
              <w:rPr>
                <w:rFonts w:ascii="GHEA Grapalat" w:cs="GHEA Grapalat" w:eastAsia="GHEA Grapalat" w:hAnsi="GHEA Grapalat"/>
                <w:u w:val="no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Համայնքը՝ իր բնակիչների հետ միասին, լինելով ծրագրի վերջնական շահառուն, կարող է ապահովել տեղական մակարդակում աջակցություն, տեղեկատվության տարածում և ծրագրի ընդունման պատրաստակամություն, համաֆինանսավորում, կամավոր թիմի ներգրավում։</w:t>
            </w:r>
          </w:p>
          <w:p w:rsidR="00000000" w:rsidDel="00000000" w:rsidP="00000000" w:rsidRDefault="00000000" w:rsidRPr="00000000" w14:paraId="000000FF">
            <w:p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Այս դերակատարների համագործակցությունը և ներդրումները թույլ են տալիս ստեղծել կայուն և արդյունավետ էլեկտրոնային միջքաղաքային տրանսպորտի համակարգ, որը կբարելավի հաղորդակցության և տեղափոխման գործընթացները համայնքների միջև։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spacing w:after="240" w:before="240" w:line="276" w:lineRule="auto"/>
        <w:rPr>
          <w:rFonts w:ascii="GHEA Grapalat" w:cs="GHEA Grapalat" w:eastAsia="GHEA Grapalat" w:hAnsi="GHEA Grapal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1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18"/>
        <w:tblGridChange w:id="0">
          <w:tblGrid>
            <w:gridCol w:w="9918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shd w:fill="b7d4ef" w:val="clear"/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60" w:before="120" w:line="276" w:lineRule="auto"/>
              <w:ind w:left="360" w:right="0" w:hanging="360"/>
              <w:jc w:val="center"/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ԸՆԹԱՑԻԿ ՀԱՄԱԳՈՐԾԱԿՑՈՒԹՅՈՒՆԸ ԱՅԼ ՄԻՋԱԶԳԱՅԻՆ ԿԱԶՄԱԿԵՐՊՈՒԹՅՈՒՆՆԵՐԻ ՀԵՏ (առավելագույնը 1 էջ)</w:t>
            </w:r>
          </w:p>
          <w:p w:rsidR="00000000" w:rsidDel="00000000" w:rsidP="00000000" w:rsidRDefault="00000000" w:rsidRPr="00000000" w14:paraId="00000102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tabs>
                <w:tab w:val="center" w:leader="none" w:pos="4680"/>
                <w:tab w:val="right" w:leader="none" w:pos="9360"/>
              </w:tabs>
              <w:spacing w:after="40" w:line="276" w:lineRule="auto"/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0"/>
                <w:i w:val="1"/>
                <w:color w:val="404040"/>
                <w:sz w:val="18"/>
                <w:szCs w:val="18"/>
                <w:rtl w:val="0"/>
              </w:rPr>
              <w:t xml:space="preserve">Նկարագրել այլ միջազգային կազմակերպությունների հետ համատեղ իրականացվող ընթացիկ ծրագրերը (շրջանակ, բովանդակություն, իրականացման եղանակներ)</w:t>
            </w:r>
          </w:p>
        </w:tc>
      </w:tr>
      <w:tr>
        <w:trPr>
          <w:cantSplit w:val="0"/>
          <w:trHeight w:val="3969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04">
            <w:p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Այս պահին համայնքը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Եվրոպայի խորհրդի կողմից ֆինանսավորվող «Ժողովրդավարական զարգացում, ապակենտրոնացում և լավ կառավարում Հայաստանում – Փուլ 2» ծրագրով իրականացվող  «Միջհամայնքային կամ անդրսահմանային համագործակցության տեխնիկատնտեսական ուսումնասիրությունների» դրամաշնորհի  շրջանակներում իրականացնում է Տաշիր գետի մաքրման հետ կապված ուսումնասիրություն։</w:t>
            </w:r>
          </w:p>
          <w:p w:rsidR="00000000" w:rsidDel="00000000" w:rsidP="00000000" w:rsidRDefault="00000000" w:rsidRPr="00000000" w14:paraId="00000105">
            <w:p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Հայտադիմումների 2-րդ փուլը հաղթահարած ծրագիր է &lt;&lt;Հովդարա ջրամատակարարման համակարգի վերանորոգումը&gt;&gt;, որը պետք է իրականացվի Ճապոնիայի դեսպանատան հետ համատեղ։ Ծրագրով նախատեսվում է վերանորոգել Հովդարա ջրամատակարարման համակարգի ջրընդունիչ հատվածը և ջրագծերի նորոգում կատարել։</w:t>
            </w:r>
          </w:p>
          <w:p w:rsidR="00000000" w:rsidDel="00000000" w:rsidP="00000000" w:rsidRDefault="00000000" w:rsidRPr="00000000" w14:paraId="00000106">
            <w:pPr>
              <w:tabs>
                <w:tab w:val="center" w:leader="none" w:pos="4680"/>
                <w:tab w:val="right" w:leader="none" w:pos="9360"/>
              </w:tabs>
              <w:spacing w:after="120" w:before="120" w:line="276" w:lineRule="auto"/>
              <w:rPr>
                <w:rFonts w:ascii="GHEA Grapalat" w:cs="GHEA Grapalat" w:eastAsia="GHEA Grapalat" w:hAnsi="GHEA Grapalat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Ծրագրային հայտի ընդունման փոււլը հաղթահարել է նաև &lt;&lt;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Խաղաղ օջախը Տաշիրում&gt;&gt; ծրագիրը, որը պետք է իրականացվի Բուլղարիայի դեսպանատան հետ համատեղ։ Ծրագրով նախատեսվում է հյուրատան կառուցում Տաշիր քաղաքում։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spacing w:after="240" w:before="240" w:line="276" w:lineRule="auto"/>
        <w:rPr>
          <w:rFonts w:ascii="GHEA Grapalat" w:cs="GHEA Grapalat" w:eastAsia="GHEA Grapalat" w:hAnsi="GHEA Grapal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91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0"/>
        <w:gridCol w:w="5528"/>
        <w:tblGridChange w:id="0">
          <w:tblGrid>
            <w:gridCol w:w="4390"/>
            <w:gridCol w:w="5528"/>
          </w:tblGrid>
        </w:tblGridChange>
      </w:tblGrid>
      <w:tr>
        <w:trPr>
          <w:cantSplit w:val="0"/>
          <w:trHeight w:val="850" w:hRule="atLeast"/>
          <w:tblHeader w:val="0"/>
        </w:trPr>
        <w:tc>
          <w:tcPr>
            <w:gridSpan w:val="2"/>
            <w:shd w:fill="b7d4ef" w:val="clear"/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160" w:before="0" w:line="276" w:lineRule="auto"/>
              <w:ind w:left="360" w:right="0" w:hanging="360"/>
              <w:jc w:val="center"/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ՍՏՈՐԱԳՐՈՒԹՅՈՒՆ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0A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Համայնքի ղեկավարի անուն ազգանուն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Էդգար Արշակյան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0C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Հեռախոսահամար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(0254) 2-22-41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0E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Ստորագրության վայր և ամսաթիվ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tabs>
                <w:tab w:val="center" w:leader="none" w:pos="4680"/>
                <w:tab w:val="right" w:leader="none" w:pos="9360"/>
              </w:tabs>
              <w:spacing w:before="120"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Վայր՝ </w:t>
            </w: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ՀՀ, Լոռու մարզ, ք.Տաշիր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tabs>
                <w:tab w:val="center" w:leader="none" w:pos="4680"/>
                <w:tab w:val="right" w:leader="none" w:pos="9360"/>
              </w:tabs>
              <w:spacing w:after="120"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color w:val="000000"/>
                <w:rtl w:val="0"/>
              </w:rPr>
              <w:t xml:space="preserve">Ամսաթիվ՝ </w:t>
            </w:r>
          </w:p>
        </w:tc>
      </w:tr>
      <w:tr>
        <w:trPr>
          <w:cantSplit w:val="0"/>
          <w:trHeight w:val="226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12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jc w:val="right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Fonts w:ascii="GHEA Grapalat" w:cs="GHEA Grapalat" w:eastAsia="GHEA Grapalat" w:hAnsi="GHEA Grapalat"/>
                <w:rtl w:val="0"/>
              </w:rPr>
              <w:t xml:space="preserve">Ստորագրություն և կնիք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tabs>
                <w:tab w:val="center" w:leader="none" w:pos="4680"/>
                <w:tab w:val="right" w:leader="none" w:pos="9360"/>
              </w:tabs>
              <w:spacing w:line="276" w:lineRule="auto"/>
              <w:rPr>
                <w:rFonts w:ascii="GHEA Grapalat" w:cs="GHEA Grapalat" w:eastAsia="GHEA Grapalat" w:hAnsi="GHEA Grapalat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4">
      <w:pPr>
        <w:rPr>
          <w:rFonts w:ascii="GHEA Grapalat" w:cs="GHEA Grapalat" w:eastAsia="GHEA Grapalat" w:hAnsi="GHEA Grapalat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2268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Aptos"/>
  <w:font w:name="GHEA Grapalat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GHEA Grapalat" w:cs="GHEA Grapalat" w:eastAsia="GHEA Grapalat" w:hAnsi="GHEA Grapala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GHEA Grapalat" w:cs="GHEA Grapalat" w:eastAsia="GHEA Grapalat" w:hAnsi="GHEA Grapala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ԳՄՀԸ կողմից իրականացվող «Ինտեգրված համայնքային զարգացում Հայաստանում» ծրագրի շրջանակներում գործընկեր համայնք դառնալու հայտ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911669" cy="720000"/>
          <wp:effectExtent b="0" l="0" r="0" t="0"/>
          <wp:docPr descr="A gold circle with a black background and a black background with white text&#10;&#10;Description automatically generated" id="1786115723" name="image2.png"/>
          <a:graphic>
            <a:graphicData uri="http://schemas.openxmlformats.org/drawingml/2006/picture">
              <pic:pic>
                <pic:nvPicPr>
                  <pic:cNvPr descr="A gold circle with a black background and a black background with white text&#10;&#10;Description automatically generated" id="0" name="image2.png"/>
                  <pic:cNvPicPr preferRelativeResize="0"/>
                </pic:nvPicPr>
                <pic:blipFill>
                  <a:blip r:embed="rId1"/>
                  <a:srcRect b="16434" l="0" r="0" t="16603"/>
                  <a:stretch>
                    <a:fillRect/>
                  </a:stretch>
                </pic:blipFill>
                <pic:spPr>
                  <a:xfrm>
                    <a:off x="0" y="0"/>
                    <a:ext cx="1911669" cy="72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084705" cy="683895"/>
          <wp:effectExtent b="0" l="0" r="0" t="0"/>
          <wp:docPr descr="A red blue and yellow flag&#10;&#10;Description automatically generated" id="1786115724" name="image1.jpg"/>
          <a:graphic>
            <a:graphicData uri="http://schemas.openxmlformats.org/drawingml/2006/picture">
              <pic:pic>
                <pic:nvPicPr>
                  <pic:cNvPr descr="A red blue and yellow flag&#10;&#10;Description automatically generated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84705" cy="6838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1"/>
      <w:numFmt w:val="bullet"/>
      <w:lvlText w:val="-"/>
      <w:lvlJc w:val="left"/>
      <w:pPr>
        <w:ind w:left="96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68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0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2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4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6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8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0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29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196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  <w:rPr/>
    </w:lvl>
    <w:lvl w:ilvl="2">
      <w:start w:val="1"/>
      <w:numFmt w:val="decimal"/>
      <w:lvlText w:val="%1.%2.%3."/>
      <w:lvlJc w:val="left"/>
      <w:pPr>
        <w:ind w:left="1080" w:hanging="720"/>
      </w:pPr>
      <w:rPr/>
    </w:lvl>
    <w:lvl w:ilvl="3">
      <w:start w:val="1"/>
      <w:numFmt w:val="decimal"/>
      <w:lvlText w:val="%1.%2.%3.%4."/>
      <w:lvlJc w:val="left"/>
      <w:pPr>
        <w:ind w:left="1440" w:hanging="1080"/>
      </w:pPr>
      <w:rPr/>
    </w:lvl>
    <w:lvl w:ilvl="4">
      <w:start w:val="1"/>
      <w:numFmt w:val="decimal"/>
      <w:lvlText w:val="%1.%2.%3.%4.%5."/>
      <w:lvlJc w:val="left"/>
      <w:pPr>
        <w:ind w:left="1440" w:hanging="1080"/>
      </w:pPr>
      <w:rPr/>
    </w:lvl>
    <w:lvl w:ilvl="5">
      <w:start w:val="1"/>
      <w:numFmt w:val="decimal"/>
      <w:lvlText w:val="%1.%2.%3.%4.%5.%6."/>
      <w:lvlJc w:val="left"/>
      <w:pPr>
        <w:ind w:left="180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440"/>
      </w:pPr>
      <w:rPr/>
    </w:lvl>
    <w:lvl w:ilvl="7">
      <w:start w:val="1"/>
      <w:numFmt w:val="decimal"/>
      <w:lvlText w:val="%1.%2.%3.%4.%5.%6.%7.%8."/>
      <w:lvlJc w:val="left"/>
      <w:pPr>
        <w:ind w:left="216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180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360" w:lineRule="auto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120" w:lineRule="auto"/>
      <w:ind w:left="567"/>
    </w:pPr>
    <w:rPr/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240" w:line="240" w:lineRule="auto"/>
    </w:pPr>
    <w:rPr>
      <w:rFonts w:ascii="GHEA Grapalat" w:cs="GHEA Grapalat" w:eastAsia="GHEA Grapalat" w:hAnsi="GHEA Grapalat"/>
      <w:b w:val="1"/>
      <w:sz w:val="24"/>
      <w:szCs w:val="24"/>
    </w:rPr>
  </w:style>
  <w:style w:type="paragraph" w:styleId="Normal" w:default="1">
    <w:name w:val="Normal"/>
    <w:qFormat w:val="1"/>
    <w:rsid w:val="008665E5"/>
    <w:rPr>
      <w:rFonts w:asciiTheme="minorHAnsi" w:cstheme="minorBidi" w:hAnsiTheme="minorHAnsi"/>
      <w:kern w:val="0"/>
      <w:lang w:val="en-US"/>
    </w:rPr>
  </w:style>
  <w:style w:type="paragraph" w:styleId="Heading1">
    <w:name w:val="heading 1"/>
    <w:aliases w:val="Գլխագիր"/>
    <w:basedOn w:val="Normal"/>
    <w:next w:val="Normal"/>
    <w:link w:val="Heading1Char"/>
    <w:autoRedefine w:val="1"/>
    <w:uiPriority w:val="9"/>
    <w:qFormat w:val="1"/>
    <w:rsid w:val="00A97315"/>
    <w:pPr>
      <w:keepNext w:val="1"/>
      <w:keepLines w:val="1"/>
      <w:spacing w:after="240" w:before="360"/>
      <w:outlineLvl w:val="0"/>
    </w:pPr>
    <w:rPr>
      <w:rFonts w:cstheme="majorBidi" w:eastAsiaTheme="majorEastAsia"/>
      <w:b w:val="1"/>
      <w:szCs w:val="32"/>
    </w:rPr>
  </w:style>
  <w:style w:type="paragraph" w:styleId="Heading2">
    <w:name w:val="heading 2"/>
    <w:aliases w:val="Ենթագլխագիր"/>
    <w:basedOn w:val="Normal"/>
    <w:next w:val="Normal"/>
    <w:link w:val="Heading2Char"/>
    <w:autoRedefine w:val="1"/>
    <w:uiPriority w:val="9"/>
    <w:semiHidden w:val="1"/>
    <w:unhideWhenUsed w:val="1"/>
    <w:qFormat w:val="1"/>
    <w:rsid w:val="00A97315"/>
    <w:pPr>
      <w:keepNext w:val="1"/>
      <w:keepLines w:val="1"/>
      <w:spacing w:after="120" w:before="120"/>
      <w:ind w:left="567"/>
      <w:outlineLvl w:val="1"/>
    </w:pPr>
    <w:rPr>
      <w:rFonts w:cstheme="majorBidi" w:eastAsiaTheme="majorEastAsia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E564C4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E564C4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E564C4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E564C4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E564C4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E564C4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E564C4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autoRedefine w:val="1"/>
    <w:uiPriority w:val="10"/>
    <w:qFormat w:val="1"/>
    <w:rsid w:val="00F75B84"/>
    <w:pPr>
      <w:spacing w:after="240" w:line="240" w:lineRule="auto"/>
    </w:pPr>
    <w:rPr>
      <w:rFonts w:ascii="GHEA Grapalat" w:hAnsi="GHEA Grapalat" w:cstheme="majorBidi" w:eastAsiaTheme="majorEastAsia"/>
      <w:b w:val="1"/>
      <w:spacing w:val="-10"/>
      <w:kern w:val="28"/>
      <w:sz w:val="24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F75B84"/>
    <w:rPr>
      <w:rFonts w:ascii="GHEA Grapalat" w:hAnsi="GHEA Grapalat" w:cstheme="majorBidi" w:eastAsiaTheme="majorEastAsia"/>
      <w:b w:val="1"/>
      <w:spacing w:val="-10"/>
      <w:kern w:val="28"/>
      <w:sz w:val="24"/>
      <w:szCs w:val="56"/>
    </w:rPr>
  </w:style>
  <w:style w:type="character" w:styleId="Heading1Char" w:customStyle="1">
    <w:name w:val="Heading 1 Char"/>
    <w:aliases w:val="Գլխագիր Char"/>
    <w:basedOn w:val="DefaultParagraphFont"/>
    <w:link w:val="Heading1"/>
    <w:uiPriority w:val="9"/>
    <w:rsid w:val="00A97315"/>
    <w:rPr>
      <w:rFonts w:cstheme="majorBidi" w:eastAsiaTheme="majorEastAsia"/>
      <w:b w:val="1"/>
      <w:szCs w:val="32"/>
    </w:rPr>
  </w:style>
  <w:style w:type="character" w:styleId="Heading2Char" w:customStyle="1">
    <w:name w:val="Heading 2 Char"/>
    <w:aliases w:val="Ենթագլխագիր Char"/>
    <w:basedOn w:val="DefaultParagraphFont"/>
    <w:link w:val="Heading2"/>
    <w:uiPriority w:val="9"/>
    <w:semiHidden w:val="1"/>
    <w:rsid w:val="00A97315"/>
    <w:rPr>
      <w:rFonts w:cstheme="majorBidi" w:eastAsiaTheme="majorEastAsia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E564C4"/>
    <w:rPr>
      <w:rFonts w:asciiTheme="minorHAnsi" w:cstheme="majorBidi" w:eastAsiaTheme="majorEastAsia" w:hAnsiTheme="minorHAnsi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564C4"/>
    <w:rPr>
      <w:rFonts w:asciiTheme="minorHAnsi" w:cstheme="majorBidi" w:eastAsiaTheme="majorEastAsia" w:hAnsiTheme="minorHAnsi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E564C4"/>
    <w:rPr>
      <w:rFonts w:asciiTheme="minorHAnsi" w:cstheme="majorBidi" w:eastAsiaTheme="majorEastAsia" w:hAnsiTheme="minorHAnsi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E564C4"/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E564C4"/>
    <w:rPr>
      <w:rFonts w:asciiTheme="minorHAnsi" w:cstheme="majorBidi" w:eastAsiaTheme="majorEastAsia" w:hAnsiTheme="minorHAnsi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E564C4"/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E564C4"/>
    <w:rPr>
      <w:rFonts w:asciiTheme="minorHAnsi" w:cstheme="majorBidi" w:eastAsiaTheme="majorEastAsia" w:hAnsiTheme="minorHAnsi"/>
      <w:color w:val="272727" w:themeColor="text1" w:themeTint="0000D8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E564C4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E564C4"/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E564C4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E564C4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link w:val="ListParagraphChar"/>
    <w:uiPriority w:val="34"/>
    <w:qFormat w:val="1"/>
    <w:rsid w:val="00E564C4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E564C4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E564C4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564C4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E564C4"/>
    <w:rPr>
      <w:b w:val="1"/>
      <w:bCs w:val="1"/>
      <w:smallCaps w:val="1"/>
      <w:color w:val="0f4761" w:themeColor="accent1" w:themeShade="0000BF"/>
      <w:spacing w:val="5"/>
    </w:rPr>
  </w:style>
  <w:style w:type="character" w:styleId="ListParagraphChar" w:customStyle="1">
    <w:name w:val="List Paragraph Char"/>
    <w:basedOn w:val="DefaultParagraphFont"/>
    <w:link w:val="ListParagraph"/>
    <w:uiPriority w:val="34"/>
    <w:locked w:val="1"/>
    <w:rsid w:val="008665E5"/>
  </w:style>
  <w:style w:type="table" w:styleId="TableGrid">
    <w:name w:val="Table Grid"/>
    <w:basedOn w:val="TableNormal"/>
    <w:rsid w:val="008665E5"/>
    <w:pPr>
      <w:spacing w:after="0" w:line="240" w:lineRule="auto"/>
    </w:pPr>
    <w:rPr>
      <w:rFonts w:asciiTheme="minorHAnsi" w:cstheme="minorBidi" w:hAnsiTheme="minorHAnsi"/>
      <w:kern w:val="0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BF7D2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F7D26"/>
    <w:rPr>
      <w:rFonts w:asciiTheme="minorHAnsi" w:cstheme="minorBidi" w:hAnsiTheme="minorHAnsi"/>
      <w:kern w:val="0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BF7D2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F7D26"/>
    <w:rPr>
      <w:rFonts w:asciiTheme="minorHAnsi" w:cstheme="minorBidi" w:hAnsiTheme="minorHAnsi"/>
      <w:kern w:val="0"/>
      <w:lang w:val="en-US"/>
    </w:rPr>
  </w:style>
  <w:style w:type="paragraph" w:styleId="NormalWeb">
    <w:name w:val="Normal (Web)"/>
    <w:basedOn w:val="Normal"/>
    <w:uiPriority w:val="99"/>
    <w:unhideWhenUsed w:val="1"/>
    <w:rsid w:val="00BF7D2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 w:val="en-GB"/>
    </w:rPr>
  </w:style>
  <w:style w:type="character" w:styleId="SubtleEmphasis">
    <w:name w:val="Subtle Emphasis"/>
    <w:basedOn w:val="DefaultParagraphFont"/>
    <w:uiPriority w:val="19"/>
    <w:qFormat w:val="1"/>
    <w:rsid w:val="00351111"/>
    <w:rPr>
      <w:rFonts w:ascii="Arial" w:hAnsi="Arial"/>
      <w:b w:val="0"/>
      <w:i w:val="1"/>
      <w:iCs w:val="1"/>
      <w:color w:val="404040" w:themeColor="text1" w:themeTint="0000BF"/>
      <w:sz w:val="20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rPr>
      <w:rFonts w:ascii="Aptos" w:cs="Aptos" w:eastAsia="Aptos" w:hAnsi="Aptos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Aptos" w:cs="Aptos" w:eastAsia="Aptos" w:hAnsi="Aptos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Aptos" w:cs="Aptos" w:eastAsia="Aptos" w:hAnsi="Aptos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Aptos" w:cs="Aptos" w:eastAsia="Aptos" w:hAnsi="Aptos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Aptos" w:cs="Aptos" w:eastAsia="Aptos" w:hAnsi="Aptos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Aptos" w:cs="Aptos" w:eastAsia="Aptos" w:hAnsi="Aptos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Aptos" w:cs="Aptos" w:eastAsia="Aptos" w:hAnsi="Aptos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hy.wikipedia.org/wiki/2017" TargetMode="External"/><Relationship Id="rId8" Type="http://schemas.openxmlformats.org/officeDocument/2006/relationships/hyperlink" Target="https://hy.wikipedia.org/wiki/%D5%8F%D5%A1%D5%B7%D5%AB%D6%80_(%D5%B0%D5%A1%D5%B4%D5%A1%D5%B5%D5%B6%D6%84)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blGDey+gyX0RZL+il4bYu/wMdQ==">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2024-05-27T10:15:00Z</dcterms:created>
  <dc:creator>Hakobyan, Mher GIZ AM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0x0101009F754FA02DCA72488A894E436BA3344B</vt:lpwstr>
  </property>
  <property fmtid="{D5CDD505-2E9C-101B-9397-08002B2CF9AE}" pid="3" name="MediaServiceImageTags">
    <vt:lpwstr>MediaServiceImageTags</vt:lpwstr>
  </property>
</Properties>
</file>