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AB" w:rsidRPr="003352DC" w:rsidRDefault="003152AB" w:rsidP="003152AB">
      <w:pPr>
        <w:shd w:val="clear" w:color="auto" w:fill="FFFFFF"/>
        <w:spacing w:after="150" w:line="240" w:lineRule="auto"/>
        <w:jc w:val="both"/>
        <w:rPr>
          <w:rStyle w:val="a6"/>
          <w:rFonts w:ascii="GHEA Grapalat" w:eastAsia="Times New Roman" w:hAnsi="GHEA Grapalat"/>
          <w:sz w:val="24"/>
          <w:szCs w:val="24"/>
          <w:lang w:val="hy-AM"/>
        </w:rPr>
      </w:pPr>
    </w:p>
    <w:p w:rsidR="003152AB" w:rsidRPr="00D91891" w:rsidRDefault="003152AB" w:rsidP="003152AB">
      <w:pPr>
        <w:spacing w:after="0"/>
        <w:ind w:firstLine="708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>Հավելված 1</w:t>
      </w:r>
    </w:p>
    <w:p w:rsidR="003152AB" w:rsidRPr="00BE7D22" w:rsidRDefault="003152AB" w:rsidP="003152AB">
      <w:pPr>
        <w:spacing w:after="0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Հայաստանի Հանրապետության  Լոռու մարզի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br/>
        <w:t>Տաշիր</w:t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համայնքի ավագանու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br/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>5</w:t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  </w:t>
      </w:r>
      <w:r w:rsidRPr="00D91891">
        <w:rPr>
          <w:rFonts w:ascii="GHEA Grapalat" w:eastAsia="Times New Roman" w:hAnsi="GHEA Grapalat" w:cs="Times New Roman"/>
          <w:sz w:val="20"/>
          <w:szCs w:val="20"/>
          <w:lang w:val="hy-AM"/>
        </w:rPr>
        <w:t>-------- ------</w:t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>-ի N  -----Ն որոշման</w:t>
      </w:r>
    </w:p>
    <w:p w:rsidR="003152AB" w:rsidRPr="00BE7D22" w:rsidRDefault="003152AB" w:rsidP="003152AB">
      <w:pPr>
        <w:spacing w:after="0"/>
        <w:rPr>
          <w:rFonts w:ascii="GHEA Grapalat" w:eastAsia="Times New Roman" w:hAnsi="GHEA Grapalat" w:cs="Sylfaen"/>
          <w:lang w:val="hy-AM"/>
        </w:rPr>
      </w:pPr>
    </w:p>
    <w:p w:rsidR="003152AB" w:rsidRPr="00D91891" w:rsidRDefault="003152AB" w:rsidP="003152AB">
      <w:pPr>
        <w:spacing w:after="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D91891">
        <w:rPr>
          <w:rFonts w:ascii="GHEA Grapalat" w:eastAsia="Times New Roman" w:hAnsi="GHEA Grapalat" w:cs="Sylfaen"/>
          <w:b/>
          <w:lang w:val="hy-AM"/>
        </w:rPr>
        <w:t>ԿԱՐԳ</w:t>
      </w:r>
      <w:r w:rsidRPr="00D91891">
        <w:rPr>
          <w:rFonts w:ascii="GHEA Grapalat" w:eastAsia="Times New Roman" w:hAnsi="GHEA Grapalat" w:cs="Sylfaen"/>
          <w:b/>
          <w:lang w:val="hy-AM"/>
        </w:rPr>
        <w:br/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ՀԱՅԱՍՏԱՆԻ ՀԱՆՐԱՊԵՏՈՒԹՅԱՆ ԼՈՌՈՒ ՄԱՐԶԻ </w:t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>ՏԱՇԻՐ</w:t>
      </w:r>
      <w:r w:rsidRPr="00D9189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ՀԱՄԱՅՆՔԻ ՎԱՐՉԱԿԱՆ ՏԱՐԱԾՔՈՒՄ ԱՐՏԱՔԻՆ ԳՈՎԱԶԴ ՏԵՂԱԴՐԵԼՈՒ</w:t>
      </w:r>
    </w:p>
    <w:p w:rsidR="003152AB" w:rsidRPr="00D91891" w:rsidRDefault="003152AB" w:rsidP="003152AB">
      <w:pPr>
        <w:spacing w:after="0"/>
        <w:jc w:val="center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1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ԸՆԴՀԱՆՈՒՐ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ԴՐՈՒՅԹՆԵՐ</w:t>
      </w:r>
      <w:r w:rsidRPr="00D91891">
        <w:rPr>
          <w:rFonts w:ascii="GHEA Grapalat" w:eastAsia="Times New Roman" w:hAnsi="GHEA Grapalat" w:cs="Sylfaen"/>
          <w:lang w:val="hy-AM"/>
        </w:rPr>
        <w:br/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 xml:space="preserve">    1. </w:t>
      </w:r>
      <w:r>
        <w:rPr>
          <w:rFonts w:ascii="GHEA Grapalat" w:eastAsia="Times New Roman" w:hAnsi="GHEA Grapalat" w:cs="Sylfaen"/>
          <w:lang w:val="hy-AM"/>
        </w:rPr>
        <w:t xml:space="preserve">. Սույն կարգով  (այսուհետ կարգ)  կարգավորվում են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վարչական տարածքում արտաքին գովազդ  տեղադրելու </w:t>
      </w:r>
      <w:r>
        <w:rPr>
          <w:rFonts w:ascii="GHEA Grapalat" w:eastAsia="Times New Roman" w:hAnsi="GHEA Grapalat" w:cs="Sylfaen"/>
          <w:lang w:val="hy-AM"/>
        </w:rPr>
        <w:t xml:space="preserve"> հետ կապված հարաբերությունները: </w:t>
      </w:r>
      <w:r w:rsidRPr="00D91891">
        <w:rPr>
          <w:rFonts w:ascii="GHEA Grapalat" w:eastAsia="Times New Roman" w:hAnsi="GHEA Grapalat" w:cs="Sylfaen"/>
          <w:lang w:val="hy-AM"/>
        </w:rPr>
        <w:t>Սույն կարգն ընդունվել է «Գովազդի մասին»</w:t>
      </w:r>
      <w:r>
        <w:rPr>
          <w:rFonts w:ascii="GHEA Grapalat" w:eastAsia="Times New Roman" w:hAnsi="GHEA Grapalat" w:cs="Sylfaen"/>
          <w:lang w:val="hy-AM"/>
        </w:rPr>
        <w:t xml:space="preserve">  </w:t>
      </w:r>
      <w:r w:rsidRPr="00D91891">
        <w:rPr>
          <w:rFonts w:ascii="GHEA Grapalat" w:eastAsia="Times New Roman" w:hAnsi="GHEA Grapalat" w:cs="Sylfaen"/>
          <w:lang w:val="hy-AM"/>
        </w:rPr>
        <w:t>օրենքին համապատասխան։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 w:rsidRPr="00D91891">
        <w:rPr>
          <w:rFonts w:ascii="Courier New" w:eastAsia="Times New Roman" w:hAnsi="Courier New" w:cs="Courier New"/>
          <w:lang w:val="hy-AM"/>
        </w:rPr>
        <w:t>  </w:t>
      </w:r>
      <w:r w:rsidRPr="00D91891">
        <w:rPr>
          <w:rFonts w:ascii="GHEA Grapalat" w:eastAsia="Times New Roman" w:hAnsi="GHEA Grapalat" w:cs="Sylfaen"/>
          <w:lang w:val="hy-AM"/>
        </w:rPr>
        <w:t>2.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Արտաքին գովազդն (այսուհետ՝ գովազդ) իրավաբանական կամ ֆիզիկական անձանց, ապրանքների, գաղափարների կամ նախաձեռնությունների մասին </w:t>
      </w:r>
      <w:r>
        <w:rPr>
          <w:rFonts w:ascii="GHEA Grapalat" w:eastAsia="Times New Roman" w:hAnsi="GHEA Grapalat" w:cs="Sylfaen"/>
          <w:lang w:val="hy-AM"/>
        </w:rPr>
        <w:t xml:space="preserve">տեղեկությունների </w:t>
      </w:r>
      <w:r w:rsidRPr="00D91891">
        <w:rPr>
          <w:rFonts w:ascii="GHEA Grapalat" w:eastAsia="Times New Roman" w:hAnsi="GHEA Grapalat" w:cs="Sylfaen"/>
          <w:lang w:val="hy-AM"/>
        </w:rPr>
        <w:t xml:space="preserve">տարածումն է բնակավայրերում՝ տարբեր </w:t>
      </w:r>
      <w:r>
        <w:rPr>
          <w:rFonts w:ascii="GHEA Grapalat" w:eastAsia="Times New Roman" w:hAnsi="GHEA Grapalat" w:cs="Sylfaen"/>
          <w:lang w:val="hy-AM"/>
        </w:rPr>
        <w:t xml:space="preserve">տեղեկատվական </w:t>
      </w:r>
      <w:r w:rsidRPr="00D91891">
        <w:rPr>
          <w:rFonts w:ascii="GHEA Grapalat" w:eastAsia="Times New Roman" w:hAnsi="GHEA Grapalat" w:cs="Sylfaen"/>
          <w:lang w:val="hy-AM"/>
        </w:rPr>
        <w:t>միջոցների օգնությամբ (վահանակների, գրաժապավենների, լուսատախտակների, պլակատների, ազդագրերի, հայտարարությունների և այլնի)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(</w:t>
      </w:r>
      <w:r>
        <w:rPr>
          <w:rFonts w:ascii="GHEA Grapalat" w:eastAsia="Times New Roman" w:hAnsi="GHEA Grapalat" w:cs="Sylfaen"/>
          <w:lang w:val="hy-AM"/>
        </w:rPr>
        <w:t xml:space="preserve"> այսուհետև ՝ գովազդի միջոց </w:t>
      </w:r>
      <w:r w:rsidRPr="00D91891">
        <w:rPr>
          <w:rFonts w:ascii="GHEA Grapalat" w:eastAsia="Times New Roman" w:hAnsi="GHEA Grapalat" w:cs="Sylfaen"/>
          <w:lang w:val="hy-AM"/>
        </w:rPr>
        <w:t>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 w:rsidRPr="00E67167">
        <w:rPr>
          <w:rFonts w:ascii="GHEA Grapalat" w:eastAsia="Times New Roman" w:hAnsi="GHEA Grapalat" w:cs="Sylfaen"/>
          <w:color w:val="FF0000"/>
          <w:lang w:val="hy-AM"/>
        </w:rPr>
        <w:t>3.</w:t>
      </w:r>
      <w:r w:rsidRPr="00D91891">
        <w:rPr>
          <w:rFonts w:ascii="GHEA Grapalat" w:eastAsia="Times New Roman" w:hAnsi="GHEA Grapalat" w:cs="Sylfaen"/>
          <w:lang w:val="hy-AM"/>
        </w:rPr>
        <w:t>Հայաստանի Հանրապետության կառավարության 2002 թվականի մարտի 19-ի N 270 որոշման պահանջներին համապատասխան տեղադրվող ցուցանակների վրա զետեղվող տեղեկատվությունը գովազդ չի համարվում։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4</w:t>
      </w:r>
      <w:r w:rsidRPr="00D91891">
        <w:rPr>
          <w:rFonts w:ascii="GHEA Grapalat" w:eastAsia="Times New Roman" w:hAnsi="GHEA Grapalat" w:cs="Sylfaen"/>
          <w:lang w:val="hy-AM"/>
        </w:rPr>
        <w:t>. Սույն կարգը տարածվում է բոլոր այն տարածքների վրա, որտեղ պետք է տեղադրվի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գովազդը։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5</w:t>
      </w:r>
      <w:r w:rsidRPr="00D91891">
        <w:rPr>
          <w:rFonts w:ascii="GHEA Grapalat" w:eastAsia="Times New Roman" w:hAnsi="GHEA Grapalat" w:cs="Sylfaen"/>
          <w:lang w:val="hy-AM"/>
        </w:rPr>
        <w:t>.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սեփականություն համարվող հողամասի վրա գովազդի միջոց տեղադրելու համար</w:t>
      </w:r>
      <w:r>
        <w:rPr>
          <w:rFonts w:ascii="GHEA Grapalat" w:eastAsia="Times New Roman" w:hAnsi="GHEA Grapalat" w:cs="Sylfaen"/>
          <w:lang w:val="hy-AM"/>
        </w:rPr>
        <w:t xml:space="preserve"> Հայաստանի Հանրապետության  հ</w:t>
      </w:r>
      <w:r w:rsidRPr="00D91891">
        <w:rPr>
          <w:rFonts w:ascii="GHEA Grapalat" w:eastAsia="Times New Roman" w:hAnsi="GHEA Grapalat" w:cs="Sylfaen"/>
          <w:lang w:val="hy-AM"/>
        </w:rPr>
        <w:t xml:space="preserve">ողային օրենսգրքով սահմանված կարգով, </w:t>
      </w:r>
      <w:r>
        <w:rPr>
          <w:rFonts w:ascii="GHEA Grapalat" w:eastAsia="Times New Roman" w:hAnsi="GHEA Grapalat" w:cs="Sylfaen"/>
          <w:lang w:val="hy-AM"/>
        </w:rPr>
        <w:t xml:space="preserve">սույն </w:t>
      </w:r>
      <w:r w:rsidRPr="00D91891">
        <w:rPr>
          <w:rFonts w:ascii="GHEA Grapalat" w:eastAsia="Times New Roman" w:hAnsi="GHEA Grapalat" w:cs="Sylfaen"/>
          <w:lang w:val="hy-AM"/>
        </w:rPr>
        <w:t>կարգին և պայմաններին համապատասխան,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ղեկավարին դ</w:t>
      </w:r>
      <w:r>
        <w:rPr>
          <w:rFonts w:ascii="GHEA Grapalat" w:eastAsia="Times New Roman" w:hAnsi="GHEA Grapalat" w:cs="Sylfaen"/>
          <w:lang w:val="hy-AM"/>
        </w:rPr>
        <w:t xml:space="preserve">իմում ներկայացրած գովազդատուին կամ </w:t>
      </w:r>
      <w:r w:rsidRPr="00D91891">
        <w:rPr>
          <w:rFonts w:ascii="GHEA Grapalat" w:eastAsia="Times New Roman" w:hAnsi="GHEA Grapalat" w:cs="Sylfaen"/>
          <w:lang w:val="hy-AM"/>
        </w:rPr>
        <w:t>գովազդակրին օգտագործման իրավունքով տրամադրվում է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հողամաս՝ կնքելով հողօգտագործման համապատասխան պայմանագիր, հետագայում տվյալ կողմի հետ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նախապատվության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իրավունքով</w:t>
      </w:r>
      <w:r>
        <w:rPr>
          <w:rFonts w:ascii="Calibri" w:eastAsia="Times New Roman" w:hAnsi="Calibri" w:cs="Calibri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երկարաձգելու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պայմանով։</w:t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6</w:t>
      </w:r>
      <w:r w:rsidRPr="00D91891">
        <w:rPr>
          <w:rFonts w:ascii="GHEA Grapalat" w:eastAsia="Times New Roman" w:hAnsi="GHEA Grapalat" w:cs="Sylfaen"/>
          <w:lang w:val="hy-AM"/>
        </w:rPr>
        <w:t>. Այն դեպքում, երբ գովազդի միջոցը տեղադրվում է համայնքային սեփականություն չհանդիսացող տարածքում (կամ դրանց օգտագործմամբ), ապա գովազդի միջոցի տեղադրելու թույլտվության մասին որոշում</w:t>
      </w:r>
      <w:r>
        <w:rPr>
          <w:rFonts w:ascii="GHEA Grapalat" w:eastAsia="Times New Roman" w:hAnsi="GHEA Grapalat" w:cs="Sylfaen"/>
          <w:lang w:val="hy-AM"/>
        </w:rPr>
        <w:t>ն</w:t>
      </w:r>
      <w:r w:rsidRPr="00D91891">
        <w:rPr>
          <w:rFonts w:ascii="GHEA Grapalat" w:eastAsia="Times New Roman" w:hAnsi="GHEA Grapalat" w:cs="Sylfaen"/>
          <w:lang w:val="hy-AM"/>
        </w:rPr>
        <w:t xml:space="preserve">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>ջ միջև հարաբերությունները կարգավորվում են նրանց միջև կնքված քաղաքացիաիրավական պայմանագրով։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7</w:t>
      </w:r>
      <w:r w:rsidRPr="00D91891">
        <w:rPr>
          <w:rFonts w:ascii="GHEA Grapalat" w:eastAsia="Times New Roman" w:hAnsi="GHEA Grapalat" w:cs="Sylfaen"/>
          <w:lang w:val="hy-AM"/>
        </w:rPr>
        <w:t>. Գովազդի միջոց տեղադրելու թույլտվության մասին որոշման նախագծին կցվում է գովազդատուի ու տարածքի սեփականատիրոջ միջև կնքված պայմանագրի պատճենը։</w:t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lastRenderedPageBreak/>
        <w:t>8</w:t>
      </w:r>
      <w:r w:rsidRPr="00D91891">
        <w:rPr>
          <w:rFonts w:ascii="GHEA Grapalat" w:eastAsia="Times New Roman" w:hAnsi="GHEA Grapalat" w:cs="Sylfaen"/>
          <w:lang w:val="hy-AM"/>
        </w:rPr>
        <w:t xml:space="preserve">. Գովազդի տեղադրումը թույլատրվում է, եթե այն համապատասխանում է «Գովազդի մասին» </w:t>
      </w:r>
      <w:r>
        <w:rPr>
          <w:rFonts w:ascii="GHEA Grapalat" w:eastAsia="Times New Roman" w:hAnsi="GHEA Grapalat" w:cs="Sylfaen"/>
          <w:lang w:val="hy-AM"/>
        </w:rPr>
        <w:t>օրենքին</w:t>
      </w:r>
    </w:p>
    <w:p w:rsidR="003152AB" w:rsidRPr="00D91891" w:rsidRDefault="003152AB" w:rsidP="003152AB">
      <w:pPr>
        <w:spacing w:after="0"/>
        <w:jc w:val="center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2</w:t>
      </w:r>
      <w:r w:rsidRPr="00D91891">
        <w:rPr>
          <w:rFonts w:ascii="GHEA Grapalat" w:eastAsia="Times New Roman" w:hAnsi="GHEA Grapalat" w:cs="Sylfaen"/>
          <w:lang w:val="hy-AM"/>
        </w:rPr>
        <w:t>. ԳՈՎԱԶԴ ՏԵՂԱԴՐԵԼՈՒ ԹՈՒՅԼՏՎՈՒԹՅՈՒՆ</w:t>
      </w:r>
      <w:r>
        <w:rPr>
          <w:rFonts w:ascii="GHEA Grapalat" w:eastAsia="Times New Roman" w:hAnsi="GHEA Grapalat" w:cs="Sylfaen"/>
          <w:lang w:val="hy-AM"/>
        </w:rPr>
        <w:br/>
      </w:r>
    </w:p>
    <w:p w:rsidR="003152AB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9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համայնքի </w:t>
      </w:r>
      <w:r>
        <w:rPr>
          <w:rFonts w:ascii="GHEA Grapalat" w:eastAsia="Times New Roman" w:hAnsi="GHEA Grapalat" w:cs="Sylfaen"/>
          <w:lang w:val="hy-AM"/>
        </w:rPr>
        <w:t xml:space="preserve">վարչական </w:t>
      </w:r>
      <w:r w:rsidRPr="00D91891">
        <w:rPr>
          <w:rFonts w:ascii="GHEA Grapalat" w:eastAsia="Times New Roman" w:hAnsi="GHEA Grapalat" w:cs="Sylfaen"/>
          <w:lang w:val="hy-AM"/>
        </w:rPr>
        <w:t xml:space="preserve">տարածքում գովազդ տեղադրելու </w:t>
      </w:r>
      <w:r>
        <w:rPr>
          <w:rFonts w:ascii="GHEA Grapalat" w:eastAsia="Times New Roman" w:hAnsi="GHEA Grapalat" w:cs="Sylfaen"/>
          <w:lang w:val="hy-AM"/>
        </w:rPr>
        <w:t xml:space="preserve">համայնքի վարչական տարածքում արտաքին գովազդ տեղադրելու </w:t>
      </w:r>
      <w:r w:rsidRPr="00D91891">
        <w:rPr>
          <w:rFonts w:ascii="GHEA Grapalat" w:eastAsia="Times New Roman" w:hAnsi="GHEA Grapalat" w:cs="Sylfaen"/>
          <w:lang w:val="hy-AM"/>
        </w:rPr>
        <w:t>թույլտվությունը «Տեղական ինքնակառավարման մասին» օրենքի ևսույն կարգի համաձայն տրվում է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 որոշմամբ։ Համայնքի ղեկավարի որոշմանը կցվում են թույլտվությունը և գովազդի էսքիզը՝ համաձայն Ձև 1-ի և Ձև 2-ի։</w:t>
      </w:r>
      <w:r w:rsidRPr="00D91891"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</w:r>
      <w:r>
        <w:rPr>
          <w:rFonts w:ascii="GHEA Grapalat" w:eastAsia="Times New Roman" w:hAnsi="GHEA Grapalat" w:cs="Sylfaen"/>
          <w:lang w:val="hy-AM"/>
        </w:rPr>
        <w:t>10</w:t>
      </w:r>
      <w:r w:rsidRPr="00D91891">
        <w:rPr>
          <w:rFonts w:ascii="GHEA Grapalat" w:eastAsia="Times New Roman" w:hAnsi="GHEA Grapalat" w:cs="Sylfaen"/>
          <w:lang w:val="hy-AM"/>
        </w:rPr>
        <w:t>. Գովազդային միջո</w:t>
      </w:r>
      <w:r>
        <w:rPr>
          <w:rFonts w:ascii="GHEA Grapalat" w:eastAsia="Times New Roman" w:hAnsi="GHEA Grapalat" w:cs="Sylfaen"/>
          <w:lang w:val="hy-AM"/>
        </w:rPr>
        <w:t>ց տեղադրելու համար գովազդատուն կամ գովազդակիրը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հայտ</w:t>
      </w:r>
      <w:r w:rsidRPr="00D91891">
        <w:rPr>
          <w:rFonts w:ascii="GHEA Grapalat" w:eastAsia="Times New Roman" w:hAnsi="GHEA Grapalat" w:cs="Sylfaen"/>
          <w:lang w:val="hy-AM"/>
        </w:rPr>
        <w:t xml:space="preserve"> է ներկայացնում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ղեկավարին` նշելով իր անունը, ազգանունը, հաշվառման վայրը, գովազդի տեղադրման վայրը և ժամկետը, ինչպես նաև հարցի լուծման համար նշանակություն ունեցող այլ հանգամանքները։</w:t>
      </w:r>
    </w:p>
    <w:p w:rsidR="003152AB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color w:val="FF0000"/>
          <w:lang w:val="hy-AM"/>
        </w:rPr>
        <w:t>11</w:t>
      </w:r>
      <w:r w:rsidRPr="00E67167">
        <w:rPr>
          <w:rFonts w:ascii="GHEA Grapalat" w:eastAsia="Times New Roman" w:hAnsi="GHEA Grapalat" w:cs="Sylfaen"/>
          <w:color w:val="FF0000"/>
          <w:lang w:val="hy-AM"/>
        </w:rPr>
        <w:t>.</w:t>
      </w:r>
      <w:r w:rsidRPr="00D91891">
        <w:rPr>
          <w:rFonts w:ascii="GHEA Grapalat" w:eastAsia="Times New Roman" w:hAnsi="GHEA Grapalat" w:cs="Sylfaen"/>
          <w:lang w:val="hy-AM"/>
        </w:rPr>
        <w:t>Հայտին կցվում է 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</w:t>
      </w:r>
      <w:r>
        <w:rPr>
          <w:rFonts w:ascii="GHEA Grapalat" w:eastAsia="Times New Roman" w:hAnsi="GHEA Grapalat" w:cs="Sylfaen"/>
          <w:lang w:val="hy-AM"/>
        </w:rPr>
        <w:t xml:space="preserve"> </w:t>
      </w:r>
      <w:r w:rsidRPr="00D91891">
        <w:rPr>
          <w:rFonts w:ascii="GHEA Grapalat" w:eastAsia="Times New Roman" w:hAnsi="GHEA Grapalat" w:cs="Sylfaen"/>
          <w:lang w:val="hy-AM"/>
        </w:rPr>
        <w:t xml:space="preserve">լուծումները, 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12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ղեկավարը գովազդի միջոց</w:t>
      </w:r>
      <w:r>
        <w:rPr>
          <w:rFonts w:ascii="GHEA Grapalat" w:eastAsia="Times New Roman" w:hAnsi="GHEA Grapalat" w:cs="Sylfaen"/>
          <w:lang w:val="hy-AM"/>
        </w:rPr>
        <w:t xml:space="preserve"> տեղադրելու համար գովազդատուից կամ </w:t>
      </w:r>
      <w:r w:rsidRPr="00D91891">
        <w:rPr>
          <w:rFonts w:ascii="GHEA Grapalat" w:eastAsia="Times New Roman" w:hAnsi="GHEA Grapalat" w:cs="Sylfaen"/>
          <w:lang w:val="hy-AM"/>
        </w:rPr>
        <w:t xml:space="preserve">գովազդակրից </w:t>
      </w:r>
      <w:r>
        <w:rPr>
          <w:rFonts w:ascii="GHEA Grapalat" w:eastAsia="Times New Roman" w:hAnsi="GHEA Grapalat" w:cs="Sylfaen"/>
          <w:lang w:val="hy-AM"/>
        </w:rPr>
        <w:t>հայտ</w:t>
      </w:r>
      <w:r w:rsidRPr="00D91891">
        <w:rPr>
          <w:rFonts w:ascii="GHEA Grapalat" w:eastAsia="Times New Roman" w:hAnsi="GHEA Grapalat" w:cs="Sylfaen"/>
          <w:lang w:val="hy-AM"/>
        </w:rPr>
        <w:t>ը և անհրաժեշտ փաստաթղթերը ստանալուց հետո պարզում է գովազդային միջոցի համապատասխանությունը սույն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տրվում է գովազդտեղադրելու թույլտվություն, որում նշվում են՝ գովազդատուի</w:t>
      </w:r>
      <w:r>
        <w:rPr>
          <w:rFonts w:ascii="GHEA Grapalat" w:eastAsia="Times New Roman" w:hAnsi="GHEA Grapalat" w:cs="Sylfaen"/>
          <w:lang w:val="hy-AM"/>
        </w:rPr>
        <w:t xml:space="preserve"> կամ  </w:t>
      </w:r>
      <w:r w:rsidRPr="00D91891">
        <w:rPr>
          <w:rFonts w:ascii="GHEA Grapalat" w:eastAsia="Times New Roman" w:hAnsi="GHEA Grapalat" w:cs="Sylfaen"/>
          <w:lang w:val="hy-AM"/>
        </w:rPr>
        <w:t>գովազդակրի անվանումը, գովազդի չափերը, տեղադրման ձևը, գովազդային նյութերի անվանումը, թույլտվության գործողության ժամկետը և կցվում է գովազդի էսքիզը։ Թույլտվության որոշման նախագծերը նախապատրաստում է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>ի համայնքապետարանի աշխատակազմի համապատասխան բաժինը ։</w:t>
      </w:r>
      <w:r>
        <w:rPr>
          <w:rFonts w:ascii="GHEA Grapalat" w:eastAsia="Times New Roman" w:hAnsi="GHEA Grapalat" w:cs="Sylfaen"/>
          <w:lang w:val="hy-AM"/>
        </w:rPr>
        <w:tab/>
      </w:r>
      <w:r w:rsidRPr="00D91891">
        <w:rPr>
          <w:rFonts w:ascii="GHEA Grapalat" w:eastAsia="Times New Roman" w:hAnsi="GHEA Grapalat" w:cs="Sylfaen"/>
          <w:lang w:val="hy-AM"/>
        </w:rPr>
        <w:br/>
        <w:t>1</w:t>
      </w:r>
      <w:r>
        <w:rPr>
          <w:rFonts w:ascii="GHEA Grapalat" w:eastAsia="Times New Roman" w:hAnsi="GHEA Grapalat" w:cs="Sylfaen"/>
          <w:lang w:val="hy-AM"/>
        </w:rPr>
        <w:t>3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GHEA Grapalat" w:eastAsia="Times New Roman" w:hAnsi="GHEA Grapalat" w:cs="Courier New"/>
          <w:lang w:val="hy-AM"/>
        </w:rPr>
        <w:t xml:space="preserve"> Սույն կարգ</w:t>
      </w:r>
      <w:r w:rsidRPr="00D91891">
        <w:rPr>
          <w:rFonts w:ascii="GHEA Grapalat" w:eastAsia="Times New Roman" w:hAnsi="GHEA Grapalat" w:cs="Sylfaen"/>
          <w:lang w:val="hy-AM"/>
        </w:rPr>
        <w:t>ի 4-րդ կետ</w:t>
      </w:r>
      <w:r>
        <w:rPr>
          <w:rFonts w:ascii="GHEA Grapalat" w:eastAsia="Times New Roman" w:hAnsi="GHEA Grapalat" w:cs="Sylfaen"/>
          <w:lang w:val="hy-AM"/>
        </w:rPr>
        <w:t>ի համապատասխան՝ հատկացված հողամասի</w:t>
      </w:r>
      <w:r w:rsidRPr="00D91891">
        <w:rPr>
          <w:rFonts w:ascii="GHEA Grapalat" w:eastAsia="Times New Roman" w:hAnsi="GHEA Grapalat" w:cs="Sylfaen"/>
          <w:lang w:val="hy-AM"/>
        </w:rPr>
        <w:t xml:space="preserve">ի նույն հասցեում գովազդ տեղադրելու համար մեկից ավելի </w:t>
      </w:r>
      <w:r>
        <w:rPr>
          <w:rFonts w:ascii="GHEA Grapalat" w:eastAsia="Times New Roman" w:hAnsi="GHEA Grapalat" w:cs="Sylfaen"/>
          <w:lang w:val="hy-AM"/>
        </w:rPr>
        <w:t xml:space="preserve">գովազդատուների կամ գովազդակիրների </w:t>
      </w:r>
      <w:r w:rsidRPr="00D91891">
        <w:rPr>
          <w:rFonts w:ascii="GHEA Grapalat" w:eastAsia="Times New Roman" w:hAnsi="GHEA Grapalat" w:cs="Sylfaen"/>
          <w:lang w:val="hy-AM"/>
        </w:rPr>
        <w:t xml:space="preserve">հայտերի առկայության դեպքում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ղեկավարը «Հրապարակային սակարկությունների մասին» օրենքի համաձայն հայտարարում և անց է կացնում մրցույթ, որի արդյունքներով մրցույթի հաղթողին տրվում է գովազդի տեղադրման թույլտվություն։</w:t>
      </w:r>
      <w:r w:rsidRPr="00D91891">
        <w:rPr>
          <w:rFonts w:ascii="GHEA Grapalat" w:eastAsia="Times New Roman" w:hAnsi="GHEA Grapalat" w:cs="Sylfaen"/>
          <w:lang w:val="hy-AM"/>
        </w:rPr>
        <w:br/>
        <w:t>1</w:t>
      </w:r>
      <w:r>
        <w:rPr>
          <w:rFonts w:ascii="GHEA Grapalat" w:eastAsia="Times New Roman" w:hAnsi="GHEA Grapalat" w:cs="Sylfaen"/>
          <w:lang w:val="hy-AM"/>
        </w:rPr>
        <w:t>4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Գովազդի միջոց տեղադրելու վերաբերյալ </w:t>
      </w:r>
      <w:r>
        <w:rPr>
          <w:rFonts w:ascii="GHEA Grapalat" w:eastAsia="Times New Roman" w:hAnsi="GHEA Grapalat" w:cs="Sylfaen"/>
          <w:lang w:val="hy-AM"/>
        </w:rPr>
        <w:t>գովազդատուի կամ գովազդակրի հայտ</w:t>
      </w:r>
      <w:r w:rsidRPr="00D91891">
        <w:rPr>
          <w:rFonts w:ascii="GHEA Grapalat" w:eastAsia="Times New Roman" w:hAnsi="GHEA Grapalat" w:cs="Sylfaen"/>
          <w:lang w:val="hy-AM"/>
        </w:rPr>
        <w:t>ը 15 օրյա ժամկետում կարող է մերժվել այն դեպքում եթե՝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1) ներկայացված փաստաթղթերը չեն համապատասխանում սույն կարգի և պայմանների պահանջներին.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2) խախտվում են «Գովազդի մասին», «Լեզվի մասին»  օրենքների և այլ իրավական ակտերի պահանջները.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3)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գովազդի միջոցի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lastRenderedPageBreak/>
        <w:t>15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Գովազդային միջոց տեղադրելու հայտը մերժելու դեպքում՝ պետք է հստակ նշվեն մերժման պատճառներն ու հիմքերը։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16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Գովազդային նյութերը գովազդային միջոցների վրա տեղադրելու ժամանակ, ինչպես նաև արդեն տեղադրված գովազդվող </w:t>
      </w:r>
      <w:r>
        <w:rPr>
          <w:rFonts w:ascii="GHEA Grapalat" w:eastAsia="Times New Roman" w:hAnsi="GHEA Grapalat" w:cs="Sylfaen"/>
          <w:lang w:val="hy-AM"/>
        </w:rPr>
        <w:t xml:space="preserve">տեղեկության </w:t>
      </w:r>
      <w:r w:rsidRPr="00D91891">
        <w:rPr>
          <w:rFonts w:ascii="GHEA Grapalat" w:eastAsia="Times New Roman" w:hAnsi="GHEA Grapalat" w:cs="Sylfaen"/>
          <w:lang w:val="hy-AM"/>
        </w:rPr>
        <w:t xml:space="preserve">փոփոխման դեպքում, գովազդատուն (գովազդակիրը) մինչև գովազդային նյութերի տեղադրումը կամ արդեն տեղադրված գովազդվող տեղեկատվության փոփոխումը, այդ մասին գրավոր տեղեկացնում է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ղեկավարին՝ կից ներկայացնելով համապատասխան պատկերով և գրառումներով գովազդի էսքիզը, որտեղ նշվում են նաև գովազդի արտաքին չափերը։ Գովազդի էսքիզը համաձայնեցվում է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  հետ։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17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Գովազդը պետք է համապատասխանի «Գովազդի մասին», «Լեզվի մասին» օրենքների, սույն կարգի, պայմանների և այլ իրավական ակտերի պահանջներին։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18</w:t>
      </w:r>
      <w:r w:rsidRPr="00D91891">
        <w:rPr>
          <w:rFonts w:ascii="GHEA Grapalat" w:eastAsia="Times New Roman" w:hAnsi="GHEA Grapalat" w:cs="Sylfaen"/>
          <w:lang w:val="hy-AM"/>
        </w:rPr>
        <w:t xml:space="preserve">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 հետ համաձայնեցված նախագծով։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19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Courier New"/>
          <w:lang w:val="hy-AM"/>
        </w:rPr>
        <w:t>Գ</w:t>
      </w:r>
      <w:r w:rsidRPr="00D91891">
        <w:rPr>
          <w:rFonts w:ascii="GHEA Grapalat" w:eastAsia="Times New Roman" w:hAnsi="GHEA Grapalat" w:cs="Sylfaen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20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Գովազդտեղադրելու թույլտվության ժամկետը լրանալու, պայմանագրով նախատեսված հիմքերով այն վաղաժամկետ դադարելու, լուծելու դեպքում գովազդատուն (գովազդակիրը) պարտավոր է ողջամիտ ժամկետում իր միջոցներով ապամոնտաժել գովազդը և դրա տեղաբաշխման միջոցները, իսկ զբաղեցրած տարածքը բերել նախկին վիճակին։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21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Courier New"/>
          <w:lang w:val="hy-AM"/>
        </w:rPr>
        <w:t>Սույն կարգով</w:t>
      </w:r>
      <w:r w:rsidRPr="00D91891">
        <w:rPr>
          <w:rFonts w:ascii="GHEA Grapalat" w:eastAsia="Times New Roman" w:hAnsi="GHEA Grapalat" w:cs="Sylfaen"/>
          <w:lang w:val="hy-AM"/>
        </w:rPr>
        <w:t xml:space="preserve"> նախատեսված պարտավորությունները </w:t>
      </w:r>
      <w:r>
        <w:rPr>
          <w:rFonts w:ascii="GHEA Grapalat" w:eastAsia="Times New Roman" w:hAnsi="GHEA Grapalat" w:cs="Sylfaen"/>
          <w:lang w:val="hy-AM"/>
        </w:rPr>
        <w:t>գովազդատուի կամ (գովազդակրի</w:t>
      </w:r>
      <w:r w:rsidRPr="00D91891">
        <w:rPr>
          <w:rFonts w:ascii="GHEA Grapalat" w:eastAsia="Times New Roman" w:hAnsi="GHEA Grapalat" w:cs="Sylfaen"/>
          <w:lang w:val="hy-AM"/>
        </w:rPr>
        <w:t xml:space="preserve">կողմից չկատարելու կամ ոչ պատշաճ կատարելու դեպքում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ղեկավարի որոշման համաձայն՝ </w:t>
      </w:r>
      <w:r>
        <w:rPr>
          <w:rFonts w:ascii="GHEA Grapalat" w:eastAsia="Times New Roman" w:hAnsi="GHEA Grapalat" w:cs="Sylfaen"/>
          <w:lang w:val="hy-AM"/>
        </w:rPr>
        <w:t>գովազդային միջոցի</w:t>
      </w:r>
      <w:r w:rsidRPr="00D91891">
        <w:rPr>
          <w:rFonts w:ascii="GHEA Grapalat" w:eastAsia="Times New Roman" w:hAnsi="GHEA Grapalat" w:cs="Sylfaen"/>
          <w:lang w:val="hy-AM"/>
        </w:rPr>
        <w:t xml:space="preserve">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:rsidR="003152AB" w:rsidRPr="00D91891" w:rsidRDefault="003152AB" w:rsidP="003152AB">
      <w:pPr>
        <w:spacing w:after="0"/>
        <w:jc w:val="center"/>
        <w:rPr>
          <w:rFonts w:ascii="GHEA Grapalat" w:eastAsia="Times New Roman" w:hAnsi="GHEA Grapalat" w:cs="Sylfaen"/>
          <w:lang w:val="hy-AM"/>
        </w:rPr>
      </w:pPr>
    </w:p>
    <w:p w:rsidR="003152AB" w:rsidRPr="00D91891" w:rsidRDefault="003152AB" w:rsidP="003152AB">
      <w:pPr>
        <w:spacing w:after="0"/>
        <w:jc w:val="center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3</w:t>
      </w:r>
      <w:r w:rsidRPr="00D91891">
        <w:rPr>
          <w:rFonts w:ascii="GHEA Grapalat" w:eastAsia="Times New Roman" w:hAnsi="GHEA Grapalat" w:cs="Sylfaen"/>
          <w:lang w:val="hy-AM"/>
        </w:rPr>
        <w:t>. ՏԵՂԱԿԱՆ ՏՈՒՐՔԵՐԻ ԵՎ ՀՈՂՕԳՏԱԳՈՐԾՄԱՆ ՎՃԱՐԻ ՄՈՒԾՄԱՆ ԿԱՐԳԸ</w:t>
      </w:r>
    </w:p>
    <w:p w:rsidR="003152AB" w:rsidRPr="00D91891" w:rsidRDefault="003152AB" w:rsidP="003152AB">
      <w:pPr>
        <w:spacing w:after="0"/>
        <w:ind w:firstLine="720"/>
        <w:jc w:val="both"/>
        <w:rPr>
          <w:rFonts w:ascii="GHEA Grapalat" w:eastAsia="Times New Roman" w:hAnsi="GHEA Grapalat" w:cs="Sylfaen"/>
          <w:lang w:val="hy-AM"/>
        </w:rPr>
      </w:pP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2</w:t>
      </w:r>
      <w:r>
        <w:rPr>
          <w:rFonts w:ascii="GHEA Grapalat" w:eastAsia="Times New Roman" w:hAnsi="GHEA Grapalat" w:cs="Sylfaen"/>
          <w:lang w:val="hy-AM"/>
        </w:rPr>
        <w:t>2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«Տեղական տուրքերի և վճարների մասին»  օրենքին համապատասխան։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2</w:t>
      </w:r>
      <w:r>
        <w:rPr>
          <w:rFonts w:ascii="GHEA Grapalat" w:eastAsia="Times New Roman" w:hAnsi="GHEA Grapalat" w:cs="Sylfaen"/>
          <w:lang w:val="hy-AM"/>
        </w:rPr>
        <w:t>3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</w:t>
      </w:r>
      <w:r>
        <w:rPr>
          <w:rFonts w:ascii="GHEA Grapalat" w:eastAsia="Times New Roman" w:hAnsi="GHEA Grapalat" w:cs="Sylfaen"/>
          <w:lang w:val="hy-AM"/>
        </w:rPr>
        <w:t xml:space="preserve">« տեղական տուրքերի և վճարների մասին» </w:t>
      </w:r>
      <w:r w:rsidRPr="00D91891">
        <w:rPr>
          <w:rFonts w:ascii="GHEA Grapalat" w:eastAsia="Times New Roman" w:hAnsi="GHEA Grapalat" w:cs="Sylfaen"/>
          <w:lang w:val="hy-AM"/>
        </w:rPr>
        <w:t>օրենքով նախատեսված է տեղական տուրքի այլ դրույքաչափ, գովազդատուն (գովազդակիրը) վճարումը կատարում է «Տեղական տուրքերի և վճարների մասին» օրենքի համաձայն՝</w:t>
      </w:r>
      <w:r w:rsidRPr="00840673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ավագանու կողմից հաստատված համապատասխան դրույքաչափերով։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2</w:t>
      </w:r>
      <w:r>
        <w:rPr>
          <w:rFonts w:ascii="GHEA Grapalat" w:eastAsia="Times New Roman" w:hAnsi="GHEA Grapalat" w:cs="Sylfaen"/>
          <w:lang w:val="hy-AM"/>
        </w:rPr>
        <w:t>4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Սույն կարգով նախատեսված հողօգտագործման վճարի չափը սահմանվում է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 համայնքի ավագանու կողմից։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lastRenderedPageBreak/>
        <w:t>25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Սույն կարգ</w:t>
      </w:r>
      <w:r>
        <w:rPr>
          <w:rFonts w:ascii="GHEA Grapalat" w:eastAsia="Times New Roman" w:hAnsi="GHEA Grapalat" w:cs="Sylfaen"/>
          <w:lang w:val="hy-AM"/>
        </w:rPr>
        <w:t>ին</w:t>
      </w:r>
      <w:r w:rsidRPr="00D91891">
        <w:rPr>
          <w:rFonts w:ascii="GHEA Grapalat" w:eastAsia="Times New Roman" w:hAnsi="GHEA Grapalat" w:cs="Sylfaen"/>
          <w:lang w:val="hy-AM"/>
        </w:rPr>
        <w:t xml:space="preserve"> համապատասխան` վճարված գումարներն ուղղվում են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բյուջե։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 w:rsidRPr="00D91891">
        <w:rPr>
          <w:rFonts w:ascii="GHEA Grapalat" w:eastAsia="Times New Roman" w:hAnsi="GHEA Grapalat" w:cs="Sylfaen"/>
          <w:lang w:val="hy-AM"/>
        </w:rPr>
        <w:t>2</w:t>
      </w:r>
      <w:r>
        <w:rPr>
          <w:rFonts w:ascii="GHEA Grapalat" w:eastAsia="Times New Roman" w:hAnsi="GHEA Grapalat" w:cs="Sylfaen"/>
          <w:lang w:val="hy-AM"/>
        </w:rPr>
        <w:t>6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>
        <w:rPr>
          <w:rFonts w:ascii="GHEA Grapalat" w:eastAsia="Times New Roman" w:hAnsi="GHEA Grapalat" w:cs="Sylfaen"/>
          <w:lang w:val="hy-AM"/>
        </w:rPr>
        <w:t xml:space="preserve"> 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տարածքում գովազդ տեղադրելու գործընթացի նկատմամբ հսկողությունն օրենքով սահմանված կարգով իրականացնում է</w:t>
      </w:r>
      <w:r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 Հանրապետության Լոռու մարզի</w:t>
      </w:r>
      <w:r w:rsidRPr="00D91891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Տաշիր</w:t>
      </w:r>
      <w:r w:rsidRPr="00D91891">
        <w:rPr>
          <w:rFonts w:ascii="GHEA Grapalat" w:eastAsia="Times New Roman" w:hAnsi="GHEA Grapalat" w:cs="Sylfaen"/>
          <w:lang w:val="hy-AM"/>
        </w:rPr>
        <w:t xml:space="preserve"> համայնքի ղեկավարը, իսկ գովազդի մասին օրենսդրության պահպանման նկատմամբ վերահսկողությունը՝ Կոտայքի մարզպետը։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27</w:t>
      </w:r>
      <w:r w:rsidRPr="00D91891">
        <w:rPr>
          <w:rFonts w:ascii="GHEA Grapalat" w:eastAsia="Times New Roman" w:hAnsi="GHEA Grapalat" w:cs="Sylfaen"/>
          <w:lang w:val="hy-AM"/>
        </w:rPr>
        <w:t>.</w:t>
      </w:r>
      <w:r w:rsidRPr="00D91891">
        <w:rPr>
          <w:rFonts w:ascii="Courier New" w:eastAsia="Times New Roman" w:hAnsi="Courier New" w:cs="Courier New"/>
          <w:lang w:val="hy-AM"/>
        </w:rPr>
        <w:t> </w:t>
      </w:r>
      <w:r w:rsidRPr="00D91891">
        <w:rPr>
          <w:rFonts w:ascii="GHEA Grapalat" w:eastAsia="Times New Roman" w:hAnsi="GHEA Grapalat" w:cs="Sylfaen"/>
          <w:lang w:val="hy-AM"/>
        </w:rPr>
        <w:t>Գովազդային օրենսդրության պահանջների խախտումը առաջացնում է</w:t>
      </w:r>
      <w:r>
        <w:rPr>
          <w:rFonts w:ascii="GHEA Grapalat" w:eastAsia="Times New Roman" w:hAnsi="GHEA Grapalat" w:cs="Sylfaen"/>
          <w:lang w:val="hy-AM"/>
        </w:rPr>
        <w:t xml:space="preserve"> «Գովազդի մասին »</w:t>
      </w:r>
      <w:r w:rsidRPr="00D91891">
        <w:rPr>
          <w:rFonts w:ascii="GHEA Grapalat" w:eastAsia="Times New Roman" w:hAnsi="GHEA Grapalat" w:cs="Sylfaen"/>
          <w:lang w:val="hy-AM"/>
        </w:rPr>
        <w:t xml:space="preserve"> օրենքով նախատեսված պատասխանատվություն։</w:t>
      </w:r>
    </w:p>
    <w:p w:rsidR="003152AB" w:rsidRPr="00D91891" w:rsidRDefault="003152AB" w:rsidP="003152AB">
      <w:pPr>
        <w:spacing w:after="0"/>
        <w:jc w:val="both"/>
        <w:rPr>
          <w:rFonts w:ascii="GHEA Grapalat" w:eastAsia="Times New Roman" w:hAnsi="GHEA Grapalat" w:cs="Sylfaen"/>
          <w:lang w:val="hy-AM"/>
        </w:rPr>
      </w:pPr>
    </w:p>
    <w:p w:rsidR="003152AB" w:rsidRPr="00D91891" w:rsidRDefault="003152AB" w:rsidP="003152AB">
      <w:pPr>
        <w:pStyle w:val="a3"/>
        <w:spacing w:after="0" w:afterAutospacing="0" w:line="276" w:lineRule="auto"/>
        <w:jc w:val="right"/>
        <w:rPr>
          <w:rStyle w:val="a5"/>
          <w:sz w:val="22"/>
          <w:szCs w:val="22"/>
          <w:lang w:val="hy-AM"/>
        </w:rPr>
      </w:pPr>
      <w:r w:rsidRPr="00D91891">
        <w:rPr>
          <w:rStyle w:val="a5"/>
          <w:sz w:val="22"/>
          <w:szCs w:val="22"/>
          <w:lang w:val="hy-AM"/>
        </w:rPr>
        <w:t xml:space="preserve">Ձև </w:t>
      </w:r>
      <w:r w:rsidRPr="00D91891">
        <w:rPr>
          <w:rStyle w:val="a5"/>
          <w:sz w:val="22"/>
          <w:szCs w:val="22"/>
        </w:rPr>
        <w:t>2</w:t>
      </w:r>
    </w:p>
    <w:p w:rsidR="003152AB" w:rsidRPr="00D91891" w:rsidRDefault="003152AB" w:rsidP="003152AB">
      <w:pPr>
        <w:pStyle w:val="a3"/>
        <w:spacing w:after="0" w:afterAutospacing="0" w:line="276" w:lineRule="auto"/>
        <w:jc w:val="center"/>
        <w:rPr>
          <w:rFonts w:cs="Sylfaen"/>
          <w:b/>
          <w:sz w:val="22"/>
          <w:szCs w:val="22"/>
          <w:lang w:val="en-US"/>
        </w:rPr>
      </w:pPr>
      <w:r w:rsidRPr="00D91891">
        <w:rPr>
          <w:rFonts w:cs="Sylfaen"/>
          <w:b/>
          <w:sz w:val="22"/>
          <w:szCs w:val="22"/>
          <w:lang w:val="hy-AM"/>
        </w:rPr>
        <w:t>ԳՈՎԱԶԴԻ ԷՍՔԻԶ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19"/>
      </w:tblGrid>
      <w:tr w:rsidR="003152AB" w:rsidRPr="00D91891" w:rsidTr="003C7C4F">
        <w:tc>
          <w:tcPr>
            <w:tcW w:w="8319" w:type="dxa"/>
          </w:tcPr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  <w:p w:rsidR="003152AB" w:rsidRPr="00D91891" w:rsidRDefault="003152AB" w:rsidP="003C7C4F">
            <w:pPr>
              <w:pStyle w:val="a3"/>
              <w:spacing w:after="0" w:afterAutospacing="0" w:line="276" w:lineRule="auto"/>
              <w:ind w:right="720"/>
              <w:jc w:val="center"/>
              <w:rPr>
                <w:rFonts w:cs="Sylfaen"/>
                <w:b/>
                <w:sz w:val="22"/>
                <w:szCs w:val="22"/>
              </w:rPr>
            </w:pPr>
          </w:p>
        </w:tc>
      </w:tr>
    </w:tbl>
    <w:p w:rsidR="003152AB" w:rsidRDefault="003152AB" w:rsidP="003152AB">
      <w:pPr>
        <w:pStyle w:val="a3"/>
        <w:spacing w:after="0" w:afterAutospacing="0" w:line="276" w:lineRule="auto"/>
        <w:jc w:val="right"/>
        <w:rPr>
          <w:rStyle w:val="a5"/>
          <w:sz w:val="22"/>
          <w:szCs w:val="22"/>
          <w:lang w:val="hy-AM"/>
        </w:rPr>
      </w:pPr>
    </w:p>
    <w:p w:rsidR="003152AB" w:rsidRPr="00D91891" w:rsidRDefault="003152AB" w:rsidP="003152AB">
      <w:pPr>
        <w:pStyle w:val="a3"/>
        <w:spacing w:after="0" w:afterAutospacing="0" w:line="276" w:lineRule="auto"/>
        <w:jc w:val="right"/>
        <w:rPr>
          <w:rStyle w:val="a5"/>
          <w:sz w:val="22"/>
          <w:szCs w:val="22"/>
          <w:lang w:val="hy-AM"/>
        </w:rPr>
      </w:pPr>
      <w:r w:rsidRPr="00D91891">
        <w:rPr>
          <w:rStyle w:val="a5"/>
          <w:sz w:val="22"/>
          <w:szCs w:val="22"/>
          <w:lang w:val="hy-AM"/>
        </w:rPr>
        <w:t>Ձև 1</w:t>
      </w:r>
    </w:p>
    <w:p w:rsidR="003152AB" w:rsidRPr="00D91891" w:rsidRDefault="003152AB" w:rsidP="003152AB">
      <w:pPr>
        <w:pStyle w:val="a3"/>
        <w:spacing w:after="0" w:afterAutospacing="0" w:line="276" w:lineRule="auto"/>
        <w:jc w:val="center"/>
        <w:rPr>
          <w:sz w:val="22"/>
          <w:szCs w:val="22"/>
          <w:lang w:val="hy-AM"/>
        </w:rPr>
      </w:pPr>
      <w:r w:rsidRPr="00D91891">
        <w:rPr>
          <w:rStyle w:val="a5"/>
          <w:sz w:val="22"/>
          <w:szCs w:val="22"/>
        </w:rPr>
        <w:t xml:space="preserve">ԹՈՒՅԼՏՎՈՒԹՅՈՒՆ ԹԻՎ ԱԳ - </w:t>
      </w:r>
    </w:p>
    <w:p w:rsidR="003152AB" w:rsidRPr="00D91891" w:rsidRDefault="003152AB" w:rsidP="003152AB">
      <w:pPr>
        <w:pStyle w:val="a3"/>
        <w:spacing w:after="0" w:afterAutospacing="0" w:line="276" w:lineRule="auto"/>
        <w:jc w:val="center"/>
        <w:rPr>
          <w:sz w:val="22"/>
          <w:szCs w:val="22"/>
          <w:lang w:val="hy-AM"/>
        </w:rPr>
      </w:pPr>
      <w:r w:rsidRPr="00D91891">
        <w:rPr>
          <w:rStyle w:val="a5"/>
          <w:sz w:val="22"/>
          <w:szCs w:val="22"/>
          <w:lang w:val="hy-AM"/>
        </w:rPr>
        <w:t>ՀԱՄԱՅՆՔԻ ՎԱՐՉԱԿԱՆ ՏԱՐԱԾՔՈՒՄ ԱՐՏԱՔԻՆ ԳՈՎԱԶԴ ՏԵՂԱԴՐԵԼՈՒ</w:t>
      </w:r>
    </w:p>
    <w:p w:rsidR="003152AB" w:rsidRPr="00D91891" w:rsidRDefault="003152AB" w:rsidP="003152AB">
      <w:pPr>
        <w:pStyle w:val="a3"/>
        <w:spacing w:after="0" w:afterAutospacing="0" w:line="276" w:lineRule="auto"/>
        <w:rPr>
          <w:sz w:val="22"/>
          <w:szCs w:val="22"/>
          <w:lang w:val="hy-AM"/>
        </w:rPr>
      </w:pPr>
      <w:r w:rsidRPr="00D91891">
        <w:rPr>
          <w:sz w:val="22"/>
          <w:szCs w:val="22"/>
          <w:lang w:val="hy-AM"/>
        </w:rPr>
        <w:t>Տրված`«.......</w:t>
      </w:r>
      <w:r w:rsidRPr="00D91891">
        <w:rPr>
          <w:rFonts w:cs="Courier New"/>
          <w:sz w:val="22"/>
          <w:szCs w:val="22"/>
          <w:lang w:val="hy-AM"/>
        </w:rPr>
        <w:t>»...................................</w:t>
      </w:r>
      <w:r w:rsidRPr="00D91891">
        <w:rPr>
          <w:rStyle w:val="a6"/>
          <w:bCs/>
          <w:sz w:val="22"/>
          <w:szCs w:val="22"/>
          <w:lang w:val="hy-AM"/>
        </w:rPr>
        <w:t>20......թ.</w:t>
      </w:r>
    </w:p>
    <w:p w:rsidR="003152AB" w:rsidRPr="00D91891" w:rsidRDefault="003152AB" w:rsidP="003152AB">
      <w:pPr>
        <w:pStyle w:val="a3"/>
        <w:spacing w:after="0" w:afterAutospacing="0" w:line="276" w:lineRule="auto"/>
        <w:rPr>
          <w:rFonts w:cs="Courier New"/>
          <w:sz w:val="22"/>
          <w:szCs w:val="22"/>
          <w:lang w:val="hy-AM"/>
        </w:rPr>
      </w:pPr>
      <w:r w:rsidRPr="00D91891">
        <w:rPr>
          <w:sz w:val="22"/>
          <w:szCs w:val="22"/>
          <w:lang w:val="hy-AM"/>
        </w:rPr>
        <w:br/>
        <w:t>Թույլատրված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  <w:r w:rsidRPr="00D91891">
        <w:rPr>
          <w:sz w:val="22"/>
          <w:szCs w:val="22"/>
          <w:lang w:val="hy-AM"/>
        </w:rPr>
        <w:t>գործունեության անվանումը`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3152AB" w:rsidRPr="00D91891" w:rsidRDefault="003152AB" w:rsidP="003152AB">
      <w:pPr>
        <w:pStyle w:val="a3"/>
        <w:spacing w:after="0" w:afterAutospacing="0" w:line="276" w:lineRule="auto"/>
        <w:jc w:val="both"/>
        <w:rPr>
          <w:rFonts w:cs="Courier New"/>
          <w:sz w:val="22"/>
          <w:szCs w:val="22"/>
          <w:lang w:val="hy-AM"/>
        </w:rPr>
      </w:pPr>
      <w:r w:rsidRPr="00D91891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</w:t>
      </w:r>
      <w:r w:rsidRPr="00D91891">
        <w:rPr>
          <w:rFonts w:cs="Courier New"/>
          <w:sz w:val="22"/>
          <w:szCs w:val="22"/>
          <w:lang w:val="hy-AM"/>
        </w:rPr>
        <w:br/>
      </w:r>
      <w:r w:rsidRPr="00D91891">
        <w:rPr>
          <w:sz w:val="22"/>
          <w:szCs w:val="22"/>
          <w:lang w:val="hy-AM"/>
        </w:rPr>
        <w:br/>
        <w:t xml:space="preserve">Հայտատու իրավաբանական անձի լրիվ անվանումը, կազմակերպաիրավական ձևը և գտնվելու վայրը կամ </w:t>
      </w:r>
      <w:r>
        <w:rPr>
          <w:sz w:val="22"/>
          <w:szCs w:val="22"/>
          <w:lang w:val="hy-AM"/>
        </w:rPr>
        <w:t xml:space="preserve">ֆիզիկական անձի </w:t>
      </w:r>
      <w:r w:rsidRPr="00D91891">
        <w:rPr>
          <w:sz w:val="22"/>
          <w:szCs w:val="22"/>
          <w:lang w:val="hy-AM"/>
        </w:rPr>
        <w:t xml:space="preserve"> անունը, ազգանունը և գտնվելու վայրը, հարկ վճարողի հաշվառման համարը`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3152AB" w:rsidRPr="00D91891" w:rsidRDefault="003152AB" w:rsidP="003152AB">
      <w:pPr>
        <w:pStyle w:val="a3"/>
        <w:spacing w:after="0" w:afterAutospacing="0" w:line="276" w:lineRule="auto"/>
        <w:rPr>
          <w:sz w:val="22"/>
          <w:szCs w:val="22"/>
          <w:lang w:val="hy-AM"/>
        </w:rPr>
      </w:pPr>
      <w:r w:rsidRPr="00D91891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D91891">
        <w:rPr>
          <w:sz w:val="22"/>
          <w:szCs w:val="22"/>
          <w:lang w:val="hy-AM"/>
        </w:rPr>
        <w:br/>
        <w:t>Գովազդի տեղադրման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  <w:r w:rsidRPr="00D91891">
        <w:rPr>
          <w:sz w:val="22"/>
          <w:szCs w:val="22"/>
          <w:lang w:val="hy-AM"/>
        </w:rPr>
        <w:t>վայրը/վայրերը և չափերը (քմ)`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  <w:r w:rsidRPr="00D91891">
        <w:rPr>
          <w:rFonts w:cs="Courier New"/>
          <w:sz w:val="22"/>
          <w:szCs w:val="22"/>
          <w:lang w:val="hy-AM"/>
        </w:rPr>
        <w:br/>
      </w:r>
      <w:r w:rsidRPr="00D91891">
        <w:rPr>
          <w:b/>
          <w:bCs/>
          <w:i/>
          <w:iCs/>
          <w:sz w:val="22"/>
          <w:szCs w:val="22"/>
          <w:lang w:val="hy-AM"/>
        </w:rPr>
        <w:br/>
      </w:r>
      <w:r w:rsidRPr="00D91891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D91891">
        <w:rPr>
          <w:sz w:val="22"/>
          <w:szCs w:val="22"/>
          <w:lang w:val="hy-AM"/>
        </w:rPr>
        <w:br/>
        <w:t>Թույլտվության գործողության ժամկետը`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  <w:r w:rsidRPr="00D91891">
        <w:rPr>
          <w:rFonts w:cs="Courier New"/>
          <w:sz w:val="22"/>
          <w:szCs w:val="22"/>
          <w:lang w:val="hy-AM"/>
        </w:rPr>
        <w:br/>
      </w:r>
      <w:r w:rsidRPr="00D91891">
        <w:rPr>
          <w:rFonts w:cs="GHEA Grapalat"/>
          <w:sz w:val="22"/>
          <w:szCs w:val="22"/>
          <w:lang w:val="hy-AM"/>
        </w:rPr>
        <w:br/>
      </w:r>
      <w:r w:rsidRPr="00D91891">
        <w:rPr>
          <w:sz w:val="22"/>
          <w:szCs w:val="22"/>
          <w:lang w:val="hy-AM"/>
        </w:rPr>
        <w:t>«.......</w:t>
      </w:r>
      <w:r w:rsidRPr="00D91891">
        <w:rPr>
          <w:rFonts w:cs="Courier New"/>
          <w:sz w:val="22"/>
          <w:szCs w:val="22"/>
          <w:lang w:val="hy-AM"/>
        </w:rPr>
        <w:t>».................................</w:t>
      </w:r>
      <w:r w:rsidRPr="00D91891">
        <w:rPr>
          <w:rStyle w:val="a6"/>
          <w:bCs/>
          <w:sz w:val="22"/>
          <w:szCs w:val="22"/>
          <w:lang w:val="hy-AM"/>
        </w:rPr>
        <w:t>20......թ.</w:t>
      </w:r>
      <w:r w:rsidRPr="00D91891">
        <w:rPr>
          <w:sz w:val="22"/>
          <w:szCs w:val="22"/>
          <w:lang w:val="hy-AM"/>
        </w:rPr>
        <w:t>-ից</w:t>
      </w: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  <w:r w:rsidRPr="00D91891">
        <w:rPr>
          <w:sz w:val="22"/>
          <w:szCs w:val="22"/>
          <w:lang w:val="hy-AM"/>
        </w:rPr>
        <w:t>մինչև«.......</w:t>
      </w:r>
      <w:r w:rsidRPr="00D91891">
        <w:rPr>
          <w:rFonts w:cs="Courier New"/>
          <w:sz w:val="22"/>
          <w:szCs w:val="22"/>
          <w:lang w:val="hy-AM"/>
        </w:rPr>
        <w:t>».................................</w:t>
      </w:r>
      <w:r w:rsidRPr="00D91891">
        <w:rPr>
          <w:rStyle w:val="a6"/>
          <w:bCs/>
          <w:sz w:val="22"/>
          <w:szCs w:val="22"/>
          <w:lang w:val="hy-AM"/>
        </w:rPr>
        <w:t>20......թ.</w:t>
      </w:r>
      <w:r w:rsidRPr="00D91891">
        <w:rPr>
          <w:sz w:val="22"/>
          <w:szCs w:val="22"/>
          <w:lang w:val="hy-AM"/>
        </w:rPr>
        <w:t>-ը:</w:t>
      </w:r>
    </w:p>
    <w:p w:rsidR="003152AB" w:rsidRPr="00D91891" w:rsidRDefault="003152AB" w:rsidP="003152AB">
      <w:pPr>
        <w:pStyle w:val="a3"/>
        <w:spacing w:after="0" w:afterAutospacing="0" w:line="276" w:lineRule="auto"/>
        <w:rPr>
          <w:sz w:val="22"/>
          <w:szCs w:val="22"/>
          <w:lang w:val="hy-AM"/>
        </w:rPr>
      </w:pPr>
      <w:r w:rsidRPr="00D91891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3152AB" w:rsidRPr="00D91891" w:rsidRDefault="003152AB" w:rsidP="003152AB">
      <w:pPr>
        <w:pStyle w:val="a3"/>
        <w:spacing w:after="0" w:afterAutospacing="0" w:line="276" w:lineRule="auto"/>
        <w:rPr>
          <w:sz w:val="22"/>
          <w:szCs w:val="22"/>
          <w:lang w:val="hy-AM"/>
        </w:rPr>
      </w:pPr>
      <w:r w:rsidRPr="00D91891">
        <w:rPr>
          <w:rFonts w:ascii="Courier New" w:hAnsi="Courier New" w:cs="Courier New"/>
          <w:sz w:val="22"/>
          <w:szCs w:val="22"/>
          <w:lang w:val="hy-AM"/>
        </w:rPr>
        <w:t>  </w:t>
      </w:r>
    </w:p>
    <w:p w:rsidR="003152AB" w:rsidRPr="00D91891" w:rsidRDefault="003152AB" w:rsidP="003152AB">
      <w:pPr>
        <w:pStyle w:val="a3"/>
        <w:spacing w:after="0" w:afterAutospacing="0" w:line="276" w:lineRule="auto"/>
        <w:jc w:val="center"/>
        <w:rPr>
          <w:rStyle w:val="a5"/>
          <w:rFonts w:cs="Courier New"/>
          <w:sz w:val="22"/>
          <w:szCs w:val="22"/>
          <w:lang w:val="hy-AM"/>
        </w:rPr>
      </w:pPr>
      <w:r w:rsidRPr="00D91891">
        <w:rPr>
          <w:rStyle w:val="a5"/>
          <w:sz w:val="22"/>
          <w:szCs w:val="22"/>
          <w:lang w:val="hy-AM"/>
        </w:rPr>
        <w:t>ՀԱՄԱՅՆՔԻ ՂԵԿԱՎԱՐ</w:t>
      </w:r>
      <w:r w:rsidRPr="00D91891">
        <w:rPr>
          <w:rStyle w:val="a5"/>
          <w:rFonts w:ascii="Courier New" w:hAnsi="Courier New" w:cs="Courier New"/>
          <w:sz w:val="22"/>
          <w:szCs w:val="22"/>
          <w:lang w:val="hy-AM"/>
        </w:rPr>
        <w:t>                     </w:t>
      </w:r>
      <w:r w:rsidRPr="00C608E8">
        <w:rPr>
          <w:rStyle w:val="a5"/>
          <w:sz w:val="22"/>
          <w:szCs w:val="22"/>
          <w:lang w:val="hy-AM"/>
        </w:rPr>
        <w:t>__________________________</w:t>
      </w:r>
      <w:r w:rsidRPr="00D91891">
        <w:rPr>
          <w:rStyle w:val="a5"/>
          <w:rFonts w:ascii="Courier New" w:hAnsi="Courier New" w:cs="Courier New"/>
          <w:sz w:val="22"/>
          <w:szCs w:val="22"/>
          <w:lang w:val="hy-AM"/>
        </w:rPr>
        <w:t> </w:t>
      </w:r>
    </w:p>
    <w:p w:rsidR="003152AB" w:rsidRPr="00C608E8" w:rsidRDefault="003152AB" w:rsidP="003152AB">
      <w:pPr>
        <w:spacing w:after="0"/>
        <w:rPr>
          <w:rFonts w:ascii="GHEA Grapalat" w:hAnsi="GHEA Grapalat"/>
          <w:lang w:val="hy-AM"/>
        </w:rPr>
      </w:pPr>
    </w:p>
    <w:p w:rsidR="003152AB" w:rsidRPr="00B92594" w:rsidRDefault="003152AB" w:rsidP="003152AB">
      <w:pPr>
        <w:spacing w:after="0"/>
        <w:rPr>
          <w:rFonts w:ascii="GHEA Grapalat" w:hAnsi="GHEA Grapalat"/>
          <w:lang w:val="hy-AM"/>
        </w:rPr>
      </w:pPr>
    </w:p>
    <w:p w:rsidR="003152AB" w:rsidRPr="00A17179" w:rsidRDefault="003152AB" w:rsidP="003152AB">
      <w:pPr>
        <w:spacing w:after="0"/>
        <w:ind w:firstLine="708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Հավելված 2</w:t>
      </w:r>
    </w:p>
    <w:p w:rsidR="003152AB" w:rsidRPr="00A17179" w:rsidRDefault="003152AB" w:rsidP="003152AB">
      <w:pPr>
        <w:spacing w:after="0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1717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 Լոռու մարզի </w:t>
      </w:r>
      <w:r w:rsidRPr="00A17179">
        <w:rPr>
          <w:rFonts w:ascii="GHEA Grapalat" w:eastAsia="Times New Roman" w:hAnsi="GHEA Grapalat" w:cs="Sylfaen"/>
          <w:sz w:val="24"/>
          <w:szCs w:val="24"/>
          <w:lang w:val="hy-AM"/>
        </w:rPr>
        <w:br/>
        <w:t xml:space="preserve">Տաշիր համայնքի ավագանու </w:t>
      </w:r>
      <w:r w:rsidRPr="00A17179">
        <w:rPr>
          <w:rFonts w:ascii="GHEA Grapalat" w:eastAsia="Times New Roman" w:hAnsi="GHEA Grapalat" w:cs="Sylfaen"/>
          <w:sz w:val="24"/>
          <w:szCs w:val="24"/>
          <w:lang w:val="hy-AM"/>
        </w:rPr>
        <w:br/>
        <w:t xml:space="preserve">2025 թվականի   </w:t>
      </w:r>
      <w:r w:rsidRPr="00A17179">
        <w:rPr>
          <w:rFonts w:ascii="GHEA Grapalat" w:eastAsia="Times New Roman" w:hAnsi="GHEA Grapalat" w:cs="Times New Roman"/>
          <w:sz w:val="24"/>
          <w:szCs w:val="24"/>
          <w:lang w:val="hy-AM"/>
        </w:rPr>
        <w:t>-------- ------</w:t>
      </w:r>
      <w:r w:rsidRPr="00A17179">
        <w:rPr>
          <w:rFonts w:ascii="GHEA Grapalat" w:eastAsia="Times New Roman" w:hAnsi="GHEA Grapalat" w:cs="Sylfaen"/>
          <w:sz w:val="24"/>
          <w:szCs w:val="24"/>
          <w:lang w:val="hy-AM"/>
        </w:rPr>
        <w:t>-ի N  -----Ն որոշման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17179">
        <w:rPr>
          <w:rFonts w:ascii="GHEA Grapalat" w:hAnsi="GHEA Grapalat" w:cs="Sylfaen"/>
          <w:b/>
          <w:sz w:val="24"/>
          <w:szCs w:val="24"/>
          <w:lang w:val="hy-AM"/>
        </w:rPr>
        <w:t xml:space="preserve">ՊԱՅՄԱՆՆԵՐ </w:t>
      </w: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ՏԱՇԻՐ ՀԱՄԱՅՆՔԻ ՎԱՐՉԱԿԱՆ ՏԱՐԱԾՔՈՒՄ ԱՐՏԱՔԻՆ ԳՈՎԱԶԴ ՏԵՂԱԴՐԵԼՈՒ 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I. ԸՆԴՀԱՆՈՒՐ ԴՐՈՒՅԹՆԵՐ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Default="003152AB" w:rsidP="003152AB">
      <w:pPr>
        <w:spacing w:after="0"/>
        <w:jc w:val="both"/>
        <w:rPr>
          <w:rFonts w:ascii="Calibri" w:hAnsi="Calibri" w:cs="Calibri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1.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Լոռու մարզի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Տաշիր համայնքի վարչական  տարածքում արտաքին գովազդ տեղադրելու պայմանները (այսուհետ՝ պայմաններ) մշակվել են «Գովազդի մասին» օրենքի, Հայաստանի Հանրապետության Լոռու մարզի Տաշիր համայնքի վարչական տարածքում արտաքին գովազդ տեղադրելու կարգին համապատասխան։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  <w:t>2.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Լոռու մարզի 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Տաշիր համայնքի վարչական տարածքում արտաքին գովազդի (այսուհետ՝ գովազդ) միջոցների տեղադրումը թույլատրվում է </w:t>
      </w:r>
      <w:r>
        <w:rPr>
          <w:rFonts w:ascii="GHEA Grapalat" w:hAnsi="GHEA Grapalat" w:cs="Sylfaen"/>
          <w:sz w:val="24"/>
          <w:szCs w:val="24"/>
          <w:lang w:val="hy-AM"/>
        </w:rPr>
        <w:t>սույն պ</w:t>
      </w:r>
      <w:r w:rsidRPr="00A17179">
        <w:rPr>
          <w:rFonts w:ascii="GHEA Grapalat" w:hAnsi="GHEA Grapalat" w:cs="Sylfaen"/>
          <w:sz w:val="24"/>
          <w:szCs w:val="24"/>
          <w:lang w:val="hy-AM"/>
        </w:rPr>
        <w:t>այմանների պահանջներին համապատասխան։</w:t>
      </w:r>
      <w:r w:rsidRPr="00A17179">
        <w:rPr>
          <w:rFonts w:ascii="Calibri" w:hAnsi="Calibri" w:cs="Calibri"/>
          <w:sz w:val="24"/>
          <w:szCs w:val="24"/>
          <w:lang w:val="hy-AM"/>
        </w:rPr>
        <w:t>  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A17179">
        <w:rPr>
          <w:rFonts w:ascii="GHEA Grapalat" w:hAnsi="GHEA Grapalat" w:cs="Sylfaen"/>
          <w:sz w:val="24"/>
          <w:szCs w:val="24"/>
          <w:lang w:val="hy-AM"/>
        </w:rPr>
        <w:t>. ԳՈՎԱԶԴԻ ՄԻՋՈՑՆԵՐԸ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3.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Գ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ովազդի միջոց են համարվում 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Լոռու մարզի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Տաշիր համայնքի 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A17179">
        <w:rPr>
          <w:rFonts w:ascii="GHEA Grapalat" w:hAnsi="GHEA Grapalat" w:cs="Sylfaen"/>
          <w:sz w:val="24"/>
          <w:szCs w:val="24"/>
          <w:lang w:val="hy-AM"/>
        </w:rPr>
        <w:t>. ԳՈՎԱԶԴ ՏԵՂԱԴՐԵԼՈՒ ՊԱՅՄԱՆՆԵՐԸ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br/>
        <w:t>4.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>Գովազդ տեղադրելուն ներկայացվող պահանջները՝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  <w:t>1) գովազդի միջոցները չպետք է՝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>խոչընդոտեն ճանապարհային երթևեկության ապահովմանն ու անվտանգությանը, փողոցների ու մայթերի անցմանը, փողոցների ու մայթերի մեքենայացված մաքրմանը.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lastRenderedPageBreak/>
        <w:t>բ.սահմանափակեն տեսանելիությանը ավտոճանապարհների վրա.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  <w:t>գ. առաջացնեն երթևեկության մասնակիցների կուրացում լույսով, այդ թվում նաև անդրադարձող.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դ. արգելք հանդիսանան հետիոտնի շարժմանը.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  <w:t>ե.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2) ցանկացած տիպի գովազդի միջոցների տեղադրումը պետք է հիմնավորել համապատասխան նախագծային և տեսողական ընկալման դիտակետից.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բ.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ներսում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, ինչպես նաև պետական կառավարման և տեղական ինքնակառավարման մարմինների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շենքերում </w:t>
      </w:r>
      <w:r w:rsidRPr="00A17179">
        <w:rPr>
          <w:rFonts w:ascii="GHEA Grapalat" w:hAnsi="GHEA Grapalat" w:cs="Sylfaen"/>
          <w:sz w:val="24"/>
          <w:szCs w:val="24"/>
          <w:lang w:val="hy-AM"/>
        </w:rPr>
        <w:t>և դրանց տարածքում.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գ.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դ.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</w:t>
      </w:r>
      <w:r>
        <w:rPr>
          <w:rFonts w:ascii="GHEA Grapalat" w:hAnsi="GHEA Grapalat" w:cs="Sylfaen"/>
          <w:sz w:val="24"/>
          <w:szCs w:val="24"/>
          <w:lang w:val="hy-AM"/>
        </w:rPr>
        <w:t>տեղեկատվական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միջոցների հետ.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4) Հայաստանի Հանրապետության Լոռու մարզի  Տաշիր 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:rsidR="003152AB" w:rsidRPr="00A17179" w:rsidRDefault="003152AB" w:rsidP="003152A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4 </w:t>
      </w:r>
      <w:r w:rsidRPr="00A17179">
        <w:rPr>
          <w:rFonts w:ascii="GHEA Grapalat" w:hAnsi="GHEA Grapalat" w:cs="Sylfaen"/>
          <w:sz w:val="24"/>
          <w:szCs w:val="24"/>
          <w:lang w:val="hy-AM"/>
        </w:rPr>
        <w:t>.ԳՈՎԱԶԴԻ ԱՌԱՆՁԻՆ ՄԻՋՈՑՆԵՐԻ ՏԵՍԱԿՆԵՐԸ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:rsidR="003152AB" w:rsidRPr="00A17179" w:rsidRDefault="003152AB" w:rsidP="003152AB">
      <w:p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6. 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Տեղեկատու դաշտի չափի տեսակներն են՝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</w:t>
      </w:r>
      <w:r w:rsidRPr="00A17179">
        <w:rPr>
          <w:rFonts w:ascii="GHEA Grapalat" w:hAnsi="GHEA Grapalat" w:cs="Sylfaen"/>
          <w:sz w:val="24"/>
          <w:szCs w:val="24"/>
          <w:lang w:val="hy-AM"/>
        </w:rPr>
        <w:t>) մեծ չափերի - 3մx4մ, 3մx6մ և այլ չափերի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3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. </w:t>
      </w:r>
      <w:r w:rsidRPr="00A17179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7.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վահանակներին ներկայացվող պահանջներն են՝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երկկողմանի կատարում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8. 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Լոռու մարզի Տաշիր համայնքի կենտրոնական հատվածի սահմաններում թույլ է տրվում 0.6մx0.9մ, 1.8մx1.2մ, ինչպես նաև 3մx4մ մակերեսով տեղեկատու դաշտով վահանակների տեղադրումը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9.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Հայաստանի Հանրապետության Լոռու մարզի Տաշիր 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Լոռու մարզի Տաշիր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11. 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Լոռու մարզի Տաշիր համայնքի կենտրոնական հատվածից դուրս կարող են լինել 1.8մx 1.2մ, 3մx4մ, 3մx6մ տեղեկատու դաշտով և այլ չափերի վահանակներ.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12.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մայրուղիներում և պողոտաներում մեկ ուղղությամբ երկու հարևան վահանակների միջև հեռավորությունը պետք է կազմի առնվազն՝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3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4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5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6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մինչև  2քմ՝ 10մ – 15մ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Calibri" w:hAnsi="Calibri" w:cs="Calibri"/>
          <w:sz w:val="24"/>
          <w:szCs w:val="24"/>
          <w:lang w:val="hy-AM"/>
        </w:rPr>
        <w:t>13.</w:t>
      </w:r>
      <w:r w:rsidRPr="00A17179">
        <w:rPr>
          <w:rFonts w:ascii="Calibri" w:hAnsi="Calibri" w:cs="Calibri"/>
          <w:sz w:val="24"/>
          <w:szCs w:val="24"/>
          <w:lang w:val="hy-AM"/>
        </w:rPr>
        <w:t>  </w:t>
      </w:r>
      <w:r w:rsidRPr="00A17179">
        <w:rPr>
          <w:rFonts w:ascii="GHEA Grapalat" w:hAnsi="GHEA Grapalat" w:cs="Sylfaen"/>
          <w:sz w:val="24"/>
          <w:szCs w:val="24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3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A17179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4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5</w:t>
      </w:r>
      <w:r w:rsidRPr="00A17179">
        <w:rPr>
          <w:rFonts w:ascii="GHEA Grapalat" w:hAnsi="GHEA Grapalat" w:cs="Sylfaen"/>
          <w:sz w:val="24"/>
          <w:szCs w:val="24"/>
          <w:lang w:val="hy-AM"/>
        </w:rPr>
        <w:t>)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14.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Pr="00A17179">
        <w:rPr>
          <w:rFonts w:ascii="GHEA Grapalat" w:hAnsi="GHEA Grapalat" w:cs="Sylfaen"/>
          <w:sz w:val="24"/>
          <w:szCs w:val="24"/>
          <w:lang w:val="hy-AM"/>
        </w:rPr>
        <w:t>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Շենքերի, շինությունների, ինչպես նաև Հայաստանի Հանրապետության Լոռու մարզի Տաշիր համայնքի բարեկարգման տարրերի վրա տեղադրվող գովազդի 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տեղեկությունների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մնայուն միջոցների տեսակներն են.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Sylfaen"/>
          <w:sz w:val="24"/>
          <w:szCs w:val="24"/>
          <w:lang w:val="hy-AM"/>
        </w:rPr>
        <w:lastRenderedPageBreak/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Sylfaen"/>
          <w:sz w:val="24"/>
          <w:szCs w:val="24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բ.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գ.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դ.</w:t>
      </w:r>
      <w:r w:rsidRPr="00A17179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A17179">
        <w:rPr>
          <w:rFonts w:ascii="GHEA Grapalat" w:hAnsi="GHEA Grapalat" w:cs="Sylfaen"/>
          <w:sz w:val="24"/>
          <w:szCs w:val="24"/>
          <w:lang w:val="hy-AM"/>
        </w:rPr>
        <w:tab/>
      </w:r>
      <w:r w:rsidRPr="00A17179">
        <w:rPr>
          <w:rFonts w:ascii="GHEA Grapalat" w:hAnsi="GHEA Grapalat" w:cs="Sylfaen"/>
          <w:sz w:val="24"/>
          <w:szCs w:val="24"/>
          <w:lang w:val="hy-AM"/>
        </w:rPr>
        <w:br/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br/>
        <w:t>գ. պատի մեծանկարները պարտադիր պետք է ունենան համապատասխան փորձաքննություն անցած կոնստրուկցիաների նախագիծ.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ab/>
      </w:r>
      <w:r w:rsidRPr="00A17179">
        <w:rPr>
          <w:rFonts w:ascii="GHEA Grapalat" w:hAnsi="GHEA Grapalat" w:cs="Courier New"/>
          <w:sz w:val="24"/>
          <w:szCs w:val="24"/>
          <w:lang w:val="hy-AM"/>
        </w:rPr>
        <w:br/>
        <w:t xml:space="preserve"> գ. 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br/>
        <w:t>դ. Բարձակի տեղեկատու դաշտի մակերեսը հաշվարկվում է երկու կողմերիընդհանուր մակերեսով։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16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lastRenderedPageBreak/>
        <w:t>2) Գրաժապավենների բարձրությունը պետք է լինի երթևեկության գծի համեմատ 5մ-ից ոչ պակաս։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8.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1)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17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. Գովազդի վահանակների միջև եղած հեռավորությունն ըստ տրանսպորտային միջոցների թույլատրվող արագության պետք է կազմի՝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1) 60կմ/ժ թույլատրվող արագությամբ փողոցների համար մեկ ուղղությամբ երկու վահանակների միջև հեռավորությունը՝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</w:t>
      </w:r>
      <w:r>
        <w:rPr>
          <w:rFonts w:ascii="GHEA Grapalat" w:hAnsi="GHEA Grapalat" w:cs="Courier New"/>
          <w:sz w:val="24"/>
          <w:szCs w:val="24"/>
          <w:lang w:val="hy-AM"/>
        </w:rPr>
        <w:t>8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:rsidR="003152AB" w:rsidRPr="00A17179" w:rsidRDefault="003152AB" w:rsidP="003152AB">
      <w:pPr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A17179">
        <w:rPr>
          <w:rFonts w:ascii="GHEA Grapalat" w:hAnsi="GHEA Grapalat" w:cs="Courier New"/>
          <w:sz w:val="24"/>
          <w:szCs w:val="24"/>
          <w:lang w:val="hy-AM"/>
        </w:rPr>
        <w:t>1</w:t>
      </w:r>
      <w:r>
        <w:rPr>
          <w:rFonts w:ascii="GHEA Grapalat" w:hAnsi="GHEA Grapalat" w:cs="Courier New"/>
          <w:sz w:val="24"/>
          <w:szCs w:val="24"/>
          <w:lang w:val="hy-AM"/>
        </w:rPr>
        <w:t>9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>.</w:t>
      </w:r>
      <w:r w:rsidRPr="00A17179">
        <w:rPr>
          <w:rFonts w:ascii="Calibri" w:hAnsi="Calibri" w:cs="Calibri"/>
          <w:sz w:val="24"/>
          <w:szCs w:val="24"/>
          <w:lang w:val="hy-AM"/>
        </w:rPr>
        <w:t> 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Սույն 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Pr="00A17179">
        <w:rPr>
          <w:rFonts w:ascii="GHEA Grapalat" w:hAnsi="GHEA Grapalat" w:cs="Sylfaen"/>
          <w:sz w:val="24"/>
          <w:szCs w:val="24"/>
          <w:lang w:val="hy-AM"/>
        </w:rPr>
        <w:t>Հայաստանի Հանրապետության Լոռու մարզի</w:t>
      </w:r>
      <w:r w:rsidRPr="00A17179">
        <w:rPr>
          <w:rFonts w:ascii="GHEA Grapalat" w:hAnsi="GHEA Grapalat" w:cs="Courier New"/>
          <w:sz w:val="24"/>
          <w:szCs w:val="24"/>
          <w:lang w:val="hy-AM"/>
        </w:rPr>
        <w:t xml:space="preserve"> Տաշիր համայնքի ղեկավարի որոշմամբ։</w:t>
      </w:r>
    </w:p>
    <w:p w:rsidR="003152AB" w:rsidRDefault="003152AB" w:rsidP="003152AB">
      <w:pPr>
        <w:spacing w:after="0"/>
        <w:rPr>
          <w:rStyle w:val="a6"/>
          <w:rFonts w:ascii="GHEA Grapalat" w:eastAsia="Times New Roman" w:hAnsi="GHEA Grapalat"/>
          <w:sz w:val="24"/>
          <w:szCs w:val="24"/>
          <w:lang w:val="hy-AM"/>
        </w:rPr>
      </w:pPr>
    </w:p>
    <w:p w:rsidR="003152AB" w:rsidRPr="00B92594" w:rsidRDefault="003152AB" w:rsidP="003152AB">
      <w:pPr>
        <w:spacing w:after="0"/>
        <w:rPr>
          <w:rStyle w:val="a6"/>
          <w:rFonts w:ascii="GHEA Grapalat" w:eastAsia="Times New Roman" w:hAnsi="GHEA Grapalat"/>
          <w:sz w:val="24"/>
          <w:szCs w:val="24"/>
          <w:lang w:val="hy-AM"/>
        </w:rPr>
      </w:pPr>
    </w:p>
    <w:p w:rsidR="00043C72" w:rsidRPr="003152AB" w:rsidRDefault="00043C72">
      <w:pPr>
        <w:rPr>
          <w:lang w:val="hy-AM"/>
        </w:rPr>
      </w:pPr>
      <w:bookmarkStart w:id="0" w:name="_GoBack"/>
      <w:bookmarkEnd w:id="0"/>
    </w:p>
    <w:sectPr w:rsidR="00043C72" w:rsidRPr="0031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E7"/>
    <w:rsid w:val="00043C72"/>
    <w:rsid w:val="0010121A"/>
    <w:rsid w:val="003152AB"/>
    <w:rsid w:val="004E64F1"/>
    <w:rsid w:val="008777C8"/>
    <w:rsid w:val="009E66E7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AB50-0F03-45A6-BBF8-4A67D67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3152A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3152AB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2AB"/>
    <w:rPr>
      <w:b/>
      <w:bCs/>
    </w:rPr>
  </w:style>
  <w:style w:type="character" w:styleId="a6">
    <w:name w:val="Emphasis"/>
    <w:basedOn w:val="a0"/>
    <w:uiPriority w:val="20"/>
    <w:qFormat/>
    <w:rsid w:val="003152AB"/>
    <w:rPr>
      <w:i/>
      <w:iCs/>
    </w:rPr>
  </w:style>
  <w:style w:type="table" w:styleId="a7">
    <w:name w:val="Table Grid"/>
    <w:basedOn w:val="a1"/>
    <w:uiPriority w:val="59"/>
    <w:rsid w:val="003152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2778</Words>
  <Characters>15836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2025-07-09T11:17:00Z</dcterms:created>
  <dcterms:modified xsi:type="dcterms:W3CDTF">2025-07-09T11:17:00Z</dcterms:modified>
</cp:coreProperties>
</file>