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526F3" w14:textId="77777777" w:rsidR="0028073A" w:rsidRPr="006D0DA1" w:rsidRDefault="0028073A" w:rsidP="0028073A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6B73F9C3" w14:textId="6166C08C" w:rsidR="0028073A" w:rsidRPr="00BF426D" w:rsidRDefault="0028073A" w:rsidP="0028073A">
      <w:pPr>
        <w:pStyle w:val="a3"/>
        <w:spacing w:before="0" w:beforeAutospacing="0" w:after="0" w:afterAutospacing="0"/>
        <w:jc w:val="right"/>
        <w:rPr>
          <w:rStyle w:val="a5"/>
          <w:b w:val="0"/>
          <w:bCs w:val="0"/>
          <w:lang w:val="hy-AM"/>
        </w:rPr>
      </w:pPr>
      <w:bookmarkStart w:id="0" w:name="_GoBack"/>
      <w:bookmarkEnd w:id="0"/>
      <w:r w:rsidRPr="00BF426D">
        <w:rPr>
          <w:rStyle w:val="a5"/>
          <w:b w:val="0"/>
          <w:bCs w:val="0"/>
          <w:lang w:val="hy-AM"/>
        </w:rPr>
        <w:t xml:space="preserve">Հավելված </w:t>
      </w:r>
      <w:r w:rsidRPr="00BF426D">
        <w:rPr>
          <w:rStyle w:val="a5"/>
          <w:b w:val="0"/>
          <w:bCs w:val="0"/>
          <w:lang w:val="hy-AM"/>
        </w:rPr>
        <w:br/>
        <w:t xml:space="preserve">ՀՀ Լոռու մարզի </w:t>
      </w:r>
      <w:r w:rsidRPr="00BF426D">
        <w:rPr>
          <w:rStyle w:val="a5"/>
          <w:b w:val="0"/>
          <w:bCs w:val="0"/>
          <w:lang w:val="hy-AM"/>
        </w:rPr>
        <w:br/>
        <w:t>Տաշիր համայնքի ավագանու</w:t>
      </w:r>
    </w:p>
    <w:p w14:paraId="5B41A49A" w14:textId="77777777" w:rsidR="0028073A" w:rsidRPr="00BF426D" w:rsidRDefault="0028073A" w:rsidP="0028073A">
      <w:pPr>
        <w:pStyle w:val="a3"/>
        <w:spacing w:before="0" w:beforeAutospacing="0" w:after="0" w:afterAutospacing="0"/>
        <w:jc w:val="right"/>
        <w:rPr>
          <w:rStyle w:val="a5"/>
          <w:b w:val="0"/>
          <w:bCs w:val="0"/>
          <w:lang w:val="hy-AM"/>
        </w:rPr>
      </w:pPr>
      <w:r w:rsidRPr="00BF426D">
        <w:rPr>
          <w:rStyle w:val="a5"/>
          <w:b w:val="0"/>
          <w:bCs w:val="0"/>
          <w:lang w:val="hy-AM"/>
        </w:rPr>
        <w:t xml:space="preserve">2026 թվականի փետրվարի 26-ի N 22 -Ա </w:t>
      </w:r>
    </w:p>
    <w:p w14:paraId="00547E0B" w14:textId="77777777" w:rsidR="0028073A" w:rsidRPr="00BF426D" w:rsidRDefault="0028073A" w:rsidP="0028073A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44741428" w14:textId="77777777" w:rsidR="0028073A" w:rsidRDefault="0028073A" w:rsidP="0028073A">
      <w:pPr>
        <w:pStyle w:val="a3"/>
        <w:spacing w:before="0" w:beforeAutospacing="0" w:after="0" w:afterAutospacing="0"/>
        <w:jc w:val="center"/>
        <w:rPr>
          <w:rStyle w:val="a5"/>
        </w:rPr>
        <w:sectPr w:rsidR="0028073A" w:rsidSect="0084266D">
          <w:pgSz w:w="11906" w:h="16838"/>
          <w:pgMar w:top="426" w:right="720" w:bottom="284" w:left="720" w:header="708" w:footer="708" w:gutter="0"/>
          <w:cols w:space="708"/>
          <w:docGrid w:linePitch="360"/>
        </w:sectPr>
      </w:pPr>
    </w:p>
    <w:tbl>
      <w:tblPr>
        <w:tblStyle w:val="a6"/>
        <w:tblpPr w:leftFromText="180" w:rightFromText="180" w:horzAnchor="margin" w:tblpXSpec="center" w:tblpY="-285"/>
        <w:tblW w:w="14025" w:type="dxa"/>
        <w:tblLayout w:type="fixed"/>
        <w:tblLook w:val="04A0" w:firstRow="1" w:lastRow="0" w:firstColumn="1" w:lastColumn="0" w:noHBand="0" w:noVBand="1"/>
      </w:tblPr>
      <w:tblGrid>
        <w:gridCol w:w="1134"/>
        <w:gridCol w:w="1484"/>
        <w:gridCol w:w="2054"/>
        <w:gridCol w:w="5385"/>
        <w:gridCol w:w="992"/>
        <w:gridCol w:w="851"/>
        <w:gridCol w:w="2125"/>
      </w:tblGrid>
      <w:tr w:rsidR="0028073A" w:rsidRPr="00EA6468" w14:paraId="1890A036" w14:textId="77777777" w:rsidTr="001D1D55">
        <w:trPr>
          <w:trHeight w:val="4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2A29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</w:rPr>
            </w:pPr>
            <w:r w:rsidRPr="00EA6468"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</w:rPr>
              <w:lastRenderedPageBreak/>
              <w:t>հրավերով նախատեսված չափաբաժնի համարը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30C7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</w:rPr>
            </w:pPr>
            <w:r w:rsidRPr="00EA6468"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</w:rPr>
              <w:t>գնումների պլանով նախատեսված միջանցիկ ծածկագիրը` ըստ ԳՄԱ դասակարգման (CPV)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985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</w:rPr>
            </w:pPr>
            <w:r w:rsidRPr="00EA6468"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</w:rPr>
              <w:t>Անվանումը</w:t>
            </w:r>
          </w:p>
          <w:p w14:paraId="0B5C11C7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A415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</w:rPr>
            </w:pPr>
            <w:r w:rsidRPr="00EA6468"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</w:rPr>
              <w:t>տեխնիկական բնութագիրը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9A96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</w:rPr>
            </w:pPr>
            <w:r w:rsidRPr="00EA6468"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</w:rPr>
              <w:t>չափման միավորը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47FA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</w:rPr>
            </w:pPr>
            <w:r w:rsidRPr="00EA6468"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</w:rPr>
              <w:t>ընդհանուր քանակը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7639B4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8073A" w:rsidRPr="00EA6468" w14:paraId="2C0182F1" w14:textId="77777777" w:rsidTr="001D1D55">
        <w:trPr>
          <w:trHeight w:val="9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E7CB" w14:textId="77777777" w:rsidR="0028073A" w:rsidRPr="00EA6468" w:rsidRDefault="0028073A" w:rsidP="001D1D55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4F14" w14:textId="77777777" w:rsidR="0028073A" w:rsidRPr="00EA6468" w:rsidRDefault="0028073A" w:rsidP="001D1D55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A7AD" w14:textId="77777777" w:rsidR="0028073A" w:rsidRPr="00EA6468" w:rsidRDefault="0028073A" w:rsidP="001D1D55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89F6" w14:textId="77777777" w:rsidR="0028073A" w:rsidRPr="00EA6468" w:rsidRDefault="0028073A" w:rsidP="001D1D55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94B5" w14:textId="77777777" w:rsidR="0028073A" w:rsidRPr="00EA6468" w:rsidRDefault="0028073A" w:rsidP="001D1D55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C4A2" w14:textId="77777777" w:rsidR="0028073A" w:rsidRPr="00EA6468" w:rsidRDefault="0028073A" w:rsidP="001D1D55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75BB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</w:rPr>
            </w:pPr>
            <w:r w:rsidRPr="00EA6468"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</w:rPr>
              <w:t xml:space="preserve">Գնման գին/հազար դրամ </w:t>
            </w:r>
          </w:p>
        </w:tc>
      </w:tr>
      <w:tr w:rsidR="0028073A" w:rsidRPr="00EA6468" w14:paraId="6E522EEF" w14:textId="77777777" w:rsidTr="001D1D5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22A1" w14:textId="77777777" w:rsidR="0028073A" w:rsidRPr="00EA6468" w:rsidRDefault="0028073A" w:rsidP="001D1D55">
            <w:pPr>
              <w:rPr>
                <w:rFonts w:ascii="GHEA Grapalat" w:hAnsi="GHEA Grapalat"/>
                <w:color w:val="FF0000"/>
                <w:lang w:eastAsia="en-US"/>
              </w:rPr>
            </w:pPr>
            <w:r w:rsidRPr="00EA6468">
              <w:rPr>
                <w:rFonts w:ascii="GHEA Grapalat" w:hAnsi="GHEA Grapalat"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547A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34141320/</w:t>
            </w:r>
          </w:p>
          <w:p w14:paraId="30EFABEE" w14:textId="77777777" w:rsidR="0028073A" w:rsidRPr="00EA6468" w:rsidRDefault="0028073A" w:rsidP="001D1D55">
            <w:pPr>
              <w:rPr>
                <w:rFonts w:ascii="GHEA Grapalat" w:hAnsi="GHEA Grapalat"/>
                <w:color w:val="FF0000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501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9A9B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Աղբատար</w:t>
            </w:r>
          </w:p>
          <w:p w14:paraId="206F21A6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b/>
                <w:bCs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 xml:space="preserve">Մեքենա </w:t>
            </w:r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Chengliwei brand,</w:t>
            </w:r>
          </w:p>
          <w:p w14:paraId="626AA229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b/>
                <w:bCs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CHENGLI SPECIAL AUTOMOBILE</w:t>
            </w:r>
          </w:p>
          <w:p w14:paraId="2FDBFC53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b/>
                <w:bCs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CO., LTD,</w:t>
            </w:r>
          </w:p>
          <w:p w14:paraId="256BD88A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b/>
                <w:bCs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CLW5160ZYSD5,</w:t>
            </w:r>
          </w:p>
          <w:p w14:paraId="355EFE8D" w14:textId="77777777" w:rsidR="0028073A" w:rsidRPr="00EA6468" w:rsidRDefault="0028073A" w:rsidP="001D1D55">
            <w:pPr>
              <w:rPr>
                <w:rFonts w:ascii="GHEA Grapalat" w:hAnsi="GHEA Grapalat"/>
                <w:b/>
                <w:bCs/>
                <w:color w:val="FF0000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Dongfeng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2797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Աղբատար մեքենա    Շարժիչի հզորությունը`260 ձ/ու, Տարայի ծավալը`10մ3,</w:t>
            </w:r>
          </w:p>
          <w:p w14:paraId="08F38075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Մանիպուլյատորի Բեռնունակությունը` 800 կգ, Բեռնվող աղբի</w:t>
            </w:r>
          </w:p>
          <w:p w14:paraId="0093CF9D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քաշը` 9000կգ, Վառելիքի բաքը`200 լ, Արգելակման</w:t>
            </w:r>
          </w:p>
          <w:p w14:paraId="41907BF9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համակարգը`ABS, Մեքենայի ընդհանուր քաշը 18.000կգ,</w:t>
            </w:r>
          </w:p>
          <w:p w14:paraId="5EF0D34D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Մանիպուլյատորի Բեռնունակությունը` 800կգ, Փոխանցման</w:t>
            </w:r>
          </w:p>
          <w:p w14:paraId="57E72017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տուփը` FAST brand 8JS105TA, 8 front shifts, Հիդրավլիկ</w:t>
            </w:r>
          </w:p>
          <w:p w14:paraId="58C6FA81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համակարգի ճնշումը՝16Mpa, 160Bar, Շարժիչը՝ 6 cylinders,</w:t>
            </w:r>
          </w:p>
          <w:p w14:paraId="64851322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Արտանետումների ստանդարտը` Եվրո 5, Մատակարարումն</w:t>
            </w:r>
          </w:p>
          <w:p w14:paraId="603BEB3F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իրականացվում է մատակարարի կողմից` ք. Տաշիր, Վ. Սարգսյան 94 հասցեով: Ապրանքները պետք է լինեն չօգտագործված,</w:t>
            </w:r>
          </w:p>
          <w:p w14:paraId="75BCBF4D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գործարանային փաթեթավորմամբ: Ապրանքների տեղափոխումը,</w:t>
            </w:r>
          </w:p>
          <w:p w14:paraId="6503F0FF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բեռնաթափումը, տեղադրումը, միացումը, փորձարկումը, ինչպես</w:t>
            </w:r>
          </w:p>
          <w:p w14:paraId="63414292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նաև Պատվիրատուի անձնակազմի ուսուցումն իրականացվում է</w:t>
            </w:r>
          </w:p>
          <w:p w14:paraId="59A3D65F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մատակարարը, իր հաշվին և իր միջոցներով: Տեխնիկական</w:t>
            </w:r>
          </w:p>
          <w:p w14:paraId="7D63D399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lastRenderedPageBreak/>
              <w:t>բնութագրում որևէ առևտրային նշանի, ֆիրմային անվանման,</w:t>
            </w:r>
          </w:p>
          <w:p w14:paraId="79B993A8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արտոնագրի, էսքիզի կամ մոդելի, ծագման երկրի կամ կոնկրետ</w:t>
            </w:r>
          </w:p>
          <w:p w14:paraId="5F6296A1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աղբյուրի կամ արտադրողի օգտագործումը պարունակում է նաև</w:t>
            </w:r>
          </w:p>
          <w:p w14:paraId="64398F67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«Գնումների մասին» ՀՀ օրենքի 13-րդ հոդվածի 5-րդ մասով</w:t>
            </w:r>
          </w:p>
          <w:p w14:paraId="0F3F585C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նախատեսված «կամ համարժեք» բառերը: Երաշխիքային</w:t>
            </w:r>
          </w:p>
          <w:p w14:paraId="0C2D7128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ժամկետ սահմանվում է ապրանքն ընդունվելու օրվան հաջորդող</w:t>
            </w:r>
          </w:p>
          <w:p w14:paraId="465AB3B1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օրվանից հաշված 1095 օրացուցային օր։ Ապրանքի օրինակը</w:t>
            </w:r>
          </w:p>
          <w:p w14:paraId="20AC74EE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միչև մատակարարումը՝ հաղթողը պետք է համաձայնեցնի</w:t>
            </w:r>
          </w:p>
          <w:p w14:paraId="130E89F5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պատվիրատուի հետ: Պայմանագրի կատարման փուլում</w:t>
            </w:r>
          </w:p>
          <w:p w14:paraId="2FCF3806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պարտադիր է ապրանքն արտադրողից կամ վերջինիս</w:t>
            </w:r>
          </w:p>
          <w:p w14:paraId="3BA5049D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ներկայացուցչից երաշխիքային նամակի կամ</w:t>
            </w:r>
          </w:p>
          <w:p w14:paraId="44AECAFC" w14:textId="77777777" w:rsidR="0028073A" w:rsidRPr="00EA6468" w:rsidRDefault="0028073A" w:rsidP="001D1D55">
            <w:pPr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համապատասխանության սերտիֆիկատի առկայությունը:</w:t>
            </w:r>
          </w:p>
          <w:p w14:paraId="00ADF81F" w14:textId="77777777" w:rsidR="0028073A" w:rsidRPr="00EA6468" w:rsidRDefault="0028073A" w:rsidP="001D1D55">
            <w:pPr>
              <w:rPr>
                <w:rFonts w:ascii="GHEA Grapalat" w:eastAsia="DejaVuSans" w:hAnsi="GHEA Grapalat" w:cs="DejaVuSans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772F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lang w:eastAsia="en-US"/>
              </w:rPr>
            </w:pPr>
            <w:r w:rsidRPr="00EA6468">
              <w:rPr>
                <w:rFonts w:ascii="GHEA Grapalat" w:hAnsi="GHEA Grapalat"/>
                <w:lang w:eastAsia="en-US"/>
              </w:rPr>
              <w:lastRenderedPageBreak/>
              <w:t>հատ</w:t>
            </w:r>
          </w:p>
          <w:p w14:paraId="052D0937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2BC7385E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14CA44E2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2EC13BF3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4625B10E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2F064B21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1F7CF57A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17E1FD8C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53C8AE7D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C7F4" w14:textId="77777777" w:rsidR="0028073A" w:rsidRPr="00EA6468" w:rsidRDefault="0028073A" w:rsidP="001D1D55">
            <w:pPr>
              <w:rPr>
                <w:rFonts w:ascii="GHEA Grapalat" w:hAnsi="GHEA Grapalat"/>
                <w:color w:val="FF0000"/>
                <w:lang w:eastAsia="en-US"/>
              </w:rPr>
            </w:pPr>
            <w:r w:rsidRPr="00EA6468">
              <w:rPr>
                <w:rFonts w:ascii="GHEA Grapalat" w:hAnsi="GHEA Grapalat"/>
                <w:lang w:eastAsia="en-US"/>
              </w:rPr>
              <w:t xml:space="preserve">    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AD9C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b/>
                <w:bCs/>
                <w:color w:val="FF0000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26234010.00</w:t>
            </w:r>
          </w:p>
        </w:tc>
      </w:tr>
      <w:tr w:rsidR="0028073A" w:rsidRPr="00EA6468" w14:paraId="75373A17" w14:textId="77777777" w:rsidTr="001D1D5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6AED" w14:textId="77777777" w:rsidR="0028073A" w:rsidRPr="00EA6468" w:rsidRDefault="0028073A" w:rsidP="001D1D55">
            <w:pPr>
              <w:rPr>
                <w:rFonts w:ascii="GHEA Grapalat" w:hAnsi="GHEA Grapalat"/>
                <w:lang w:val="hy-AM" w:eastAsia="en-US"/>
              </w:rPr>
            </w:pPr>
            <w:r w:rsidRPr="00EA6468">
              <w:rPr>
                <w:rFonts w:ascii="GHEA Grapalat" w:hAnsi="GHEA Grapalat"/>
                <w:lang w:val="hy-AM" w:eastAsia="en-US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F9B6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34928480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9F60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hAnsi="GHEA Grapalat"/>
                <w:b/>
                <w:bCs/>
                <w:lang w:eastAsia="en-US"/>
              </w:rPr>
              <w:t>Աղբամաններ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DAB3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hAnsi="GHEA Grapalat"/>
                <w:lang w:eastAsia="en-US"/>
              </w:rPr>
              <w:t xml:space="preserve">Աղբամաններ, ծավալը՝120 լիտր, նյութը ՝բարձր խտության պոլիէթիլեն(HDPE) դիմացկուն է ուլտրամանուշակագույն ճառագայթմանը: Երկարություն՝ 550մմ լայնություն՝480մմ, բարձրություն (փակ կափարիչով)՝ 950 մմ, քաշը՝ 8.2 կգ, առավելագույն բեռնունակությունը՝ 48 կգ, գույն՝ կանաչ, անիվներ՝ 2 հատ, </w:t>
            </w:r>
            <w:r w:rsidRPr="00EA6468">
              <w:rPr>
                <w:rFonts w:ascii="GHEA Grapalat" w:hAnsi="GHEA Grapalat"/>
                <w:lang w:eastAsia="en-US"/>
              </w:rPr>
              <w:lastRenderedPageBreak/>
              <w:t>ռետինապատ, 200 մմտրամագծով, կափարիչը՝ հարթ, նույն գույնի և նույն նյութի, ինչ դինը, ամրացված առնվազն երկու ամրակներով: Չափսը՝ նույնը, ինչ աղբամանի վերին մասը,: արտադրության տարեթիվը՝ 2025-2026, վիճակ՝ նոր, գործարանային երաշխիք՝ 1 տարի ընդունման օրվանից: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E10A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lang w:eastAsia="en-US"/>
              </w:rPr>
            </w:pPr>
            <w:r w:rsidRPr="00EA6468">
              <w:rPr>
                <w:rFonts w:ascii="GHEA Grapalat" w:hAnsi="GHEA Grapalat"/>
                <w:lang w:eastAsia="en-US"/>
              </w:rPr>
              <w:lastRenderedPageBreak/>
              <w:t>հատ</w:t>
            </w:r>
          </w:p>
          <w:p w14:paraId="206B1892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479A6E02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0A7B1BD2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2FE6F9A4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4B03E4D1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6F6DF067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67AC8E62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61DF4640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4D9700BB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CF6" w14:textId="77777777" w:rsidR="0028073A" w:rsidRPr="00EA6468" w:rsidRDefault="0028073A" w:rsidP="001D1D55">
            <w:pPr>
              <w:rPr>
                <w:rFonts w:ascii="GHEA Grapalat" w:hAnsi="GHEA Grapalat"/>
                <w:lang w:eastAsia="en-US"/>
              </w:rPr>
            </w:pPr>
            <w:r w:rsidRPr="00EA6468">
              <w:rPr>
                <w:rFonts w:ascii="GHEA Grapalat" w:hAnsi="GHEA Grapalat"/>
                <w:lang w:eastAsia="en-US"/>
              </w:rPr>
              <w:lastRenderedPageBreak/>
              <w:t xml:space="preserve">  950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69D6" w14:textId="77777777" w:rsidR="0028073A" w:rsidRPr="00EA6468" w:rsidRDefault="0028073A" w:rsidP="001D1D55">
            <w:pPr>
              <w:jc w:val="center"/>
              <w:rPr>
                <w:rFonts w:ascii="GHEA Grapalat" w:eastAsia="DejaVuSans" w:hAnsi="GHEA Grapalat" w:cs="DejaVuSans"/>
                <w:b/>
                <w:bCs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14820.00</w:t>
            </w:r>
          </w:p>
        </w:tc>
      </w:tr>
      <w:tr w:rsidR="0028073A" w:rsidRPr="00EA6468" w14:paraId="236BBEDD" w14:textId="77777777" w:rsidTr="001D1D5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6E3A" w14:textId="77777777" w:rsidR="0028073A" w:rsidRPr="00EA6468" w:rsidRDefault="0028073A" w:rsidP="001D1D55">
            <w:pPr>
              <w:rPr>
                <w:rFonts w:ascii="GHEA Grapalat" w:hAnsi="GHEA Grapalat"/>
                <w:lang w:val="hy-AM" w:eastAsia="en-US"/>
              </w:rPr>
            </w:pPr>
            <w:r w:rsidRPr="00EA6468">
              <w:rPr>
                <w:rFonts w:ascii="GHEA Grapalat" w:hAnsi="GHEA Grapalat"/>
                <w:lang w:val="hy-AM" w:eastAsia="en-US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9A3B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b/>
                <w:bCs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34141300/</w:t>
            </w:r>
          </w:p>
          <w:p w14:paraId="5D72D09A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b/>
                <w:bCs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501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97DD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b/>
                <w:bCs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Ջրցան</w:t>
            </w:r>
          </w:p>
          <w:p w14:paraId="2303ACB0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b/>
                <w:bCs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Մեքենա FAW,</w:t>
            </w:r>
          </w:p>
          <w:p w14:paraId="5F04A6A4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b/>
                <w:bCs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FAW TRUCKS INTERNATIONAL.</w:t>
            </w:r>
          </w:p>
          <w:p w14:paraId="5079BF17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b/>
                <w:bCs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CO. LTD,</w:t>
            </w:r>
          </w:p>
          <w:p w14:paraId="69A4A334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b/>
                <w:bCs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FAW JK6,</w:t>
            </w:r>
          </w:p>
          <w:p w14:paraId="6C15F787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bCs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FAW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D6A1" w14:textId="77777777" w:rsidR="0028073A" w:rsidRPr="00EA6468" w:rsidRDefault="0028073A" w:rsidP="001D1D55">
            <w:pPr>
              <w:rPr>
                <w:rFonts w:ascii="GHEA Grapalat" w:hAnsi="GHEA Grapalat"/>
                <w:lang w:eastAsia="en-US"/>
              </w:rPr>
            </w:pPr>
            <w:r w:rsidRPr="00EA6468">
              <w:rPr>
                <w:rFonts w:ascii="GHEA Grapalat" w:hAnsi="GHEA Grapalat"/>
                <w:lang w:eastAsia="en-US"/>
              </w:rPr>
              <w:t>Բաքի ծավալը` ----10մ3</w:t>
            </w:r>
          </w:p>
          <w:p w14:paraId="3DC79736" w14:textId="77777777" w:rsidR="0028073A" w:rsidRPr="00EA6468" w:rsidRDefault="0028073A" w:rsidP="001D1D55">
            <w:pPr>
              <w:rPr>
                <w:rFonts w:ascii="GHEA Grapalat" w:hAnsi="GHEA Grapalat"/>
                <w:lang w:eastAsia="en-US"/>
              </w:rPr>
            </w:pPr>
            <w:r w:rsidRPr="00EA6468">
              <w:rPr>
                <w:rFonts w:ascii="GHEA Grapalat" w:hAnsi="GHEA Grapalat"/>
                <w:lang w:eastAsia="en-US"/>
              </w:rPr>
              <w:t>Ցրման տարածքը`</w:t>
            </w:r>
            <w:r w:rsidRPr="00EA6468">
              <w:rPr>
                <w:rFonts w:ascii="GHEA Grapalat" w:hAnsi="GHEA Grapalat"/>
                <w:lang w:eastAsia="en-US"/>
              </w:rPr>
              <w:tab/>
              <w:t>----6-8 մ</w:t>
            </w:r>
          </w:p>
          <w:p w14:paraId="2D00B95A" w14:textId="77777777" w:rsidR="0028073A" w:rsidRPr="00EA6468" w:rsidRDefault="0028073A" w:rsidP="001D1D55">
            <w:pPr>
              <w:rPr>
                <w:rFonts w:ascii="GHEA Grapalat" w:hAnsi="GHEA Grapalat"/>
                <w:lang w:eastAsia="en-US"/>
              </w:rPr>
            </w:pPr>
            <w:r w:rsidRPr="00EA6468">
              <w:rPr>
                <w:rFonts w:ascii="GHEA Grapalat" w:hAnsi="GHEA Grapalat"/>
                <w:lang w:eastAsia="en-US"/>
              </w:rPr>
              <w:t>Drive Wheel`----</w:t>
            </w:r>
            <w:r w:rsidRPr="00EA6468">
              <w:rPr>
                <w:rFonts w:ascii="GHEA Grapalat" w:hAnsi="GHEA Grapalat"/>
                <w:lang w:eastAsia="en-US"/>
              </w:rPr>
              <w:tab/>
              <w:t>4*2</w:t>
            </w:r>
          </w:p>
          <w:p w14:paraId="0FD37728" w14:textId="77777777" w:rsidR="0028073A" w:rsidRPr="00EA6468" w:rsidRDefault="0028073A" w:rsidP="001D1D55">
            <w:pPr>
              <w:jc w:val="both"/>
              <w:rPr>
                <w:rFonts w:ascii="GHEA Grapalat" w:hAnsi="GHEA Grapalat"/>
                <w:lang w:eastAsia="en-US"/>
              </w:rPr>
            </w:pPr>
            <w:r w:rsidRPr="00EA6468">
              <w:rPr>
                <w:rFonts w:ascii="GHEA Grapalat" w:hAnsi="GHEA Grapalat"/>
                <w:lang w:eastAsia="en-US"/>
              </w:rPr>
              <w:t>Շարժիչի հզորությունը`</w:t>
            </w:r>
            <w:r w:rsidRPr="00EA6468">
              <w:rPr>
                <w:rFonts w:ascii="GHEA Grapalat" w:hAnsi="GHEA Grapalat"/>
                <w:lang w:eastAsia="en-US"/>
              </w:rPr>
              <w:tab/>
              <w:t>---6-7 լ</w:t>
            </w:r>
          </w:p>
          <w:p w14:paraId="3E8EFB9E" w14:textId="77777777" w:rsidR="0028073A" w:rsidRPr="00EA6468" w:rsidRDefault="0028073A" w:rsidP="001D1D55">
            <w:pPr>
              <w:rPr>
                <w:rFonts w:ascii="GHEA Grapalat" w:hAnsi="GHEA Grapalat"/>
                <w:lang w:eastAsia="en-US"/>
              </w:rPr>
            </w:pPr>
            <w:r w:rsidRPr="00EA6468">
              <w:rPr>
                <w:rFonts w:ascii="GHEA Grapalat" w:hAnsi="GHEA Grapalat"/>
                <w:lang w:eastAsia="en-US"/>
              </w:rPr>
              <w:t>Վառելիքի բաքը`---</w:t>
            </w:r>
            <w:r w:rsidRPr="00EA6468">
              <w:rPr>
                <w:rFonts w:ascii="GHEA Grapalat" w:hAnsi="GHEA Grapalat"/>
                <w:lang w:eastAsia="en-US"/>
              </w:rPr>
              <w:tab/>
              <w:t>200-220 լ</w:t>
            </w:r>
          </w:p>
          <w:p w14:paraId="0E57BE2F" w14:textId="77777777" w:rsidR="0028073A" w:rsidRPr="00EA6468" w:rsidRDefault="0028073A" w:rsidP="001D1D55">
            <w:pPr>
              <w:rPr>
                <w:rFonts w:ascii="GHEA Grapalat" w:hAnsi="GHEA Grapalat"/>
                <w:lang w:eastAsia="en-US"/>
              </w:rPr>
            </w:pPr>
            <w:r w:rsidRPr="00EA6468">
              <w:rPr>
                <w:rFonts w:ascii="GHEA Grapalat" w:hAnsi="GHEA Grapalat"/>
                <w:lang w:eastAsia="en-US"/>
              </w:rPr>
              <w:t>Առջևի առանցքը`---</w:t>
            </w:r>
            <w:r w:rsidRPr="00EA6468">
              <w:rPr>
                <w:rFonts w:ascii="GHEA Grapalat" w:hAnsi="GHEA Grapalat"/>
                <w:lang w:eastAsia="en-US"/>
              </w:rPr>
              <w:tab/>
              <w:t>---5 տոննա</w:t>
            </w:r>
          </w:p>
          <w:p w14:paraId="5727C61F" w14:textId="77777777" w:rsidR="0028073A" w:rsidRPr="00EA6468" w:rsidRDefault="0028073A" w:rsidP="001D1D55">
            <w:pPr>
              <w:rPr>
                <w:rFonts w:ascii="GHEA Grapalat" w:hAnsi="GHEA Grapalat"/>
                <w:lang w:eastAsia="en-US"/>
              </w:rPr>
            </w:pPr>
            <w:r w:rsidRPr="00EA6468">
              <w:rPr>
                <w:rFonts w:ascii="GHEA Grapalat" w:hAnsi="GHEA Grapalat"/>
                <w:lang w:eastAsia="en-US"/>
              </w:rPr>
              <w:t>Հետևի առանցքը`------</w:t>
            </w:r>
            <w:r w:rsidRPr="00EA6468">
              <w:rPr>
                <w:rFonts w:ascii="GHEA Grapalat" w:hAnsi="GHEA Grapalat"/>
                <w:lang w:eastAsia="en-US"/>
              </w:rPr>
              <w:tab/>
              <w:t>10 տոննա</w:t>
            </w:r>
          </w:p>
          <w:p w14:paraId="2BE8842E" w14:textId="77777777" w:rsidR="0028073A" w:rsidRPr="00EA6468" w:rsidRDefault="0028073A" w:rsidP="001D1D55">
            <w:pPr>
              <w:rPr>
                <w:rFonts w:ascii="GHEA Grapalat" w:hAnsi="GHEA Grapalat"/>
                <w:lang w:eastAsia="en-US"/>
              </w:rPr>
            </w:pPr>
            <w:r w:rsidRPr="00EA6468">
              <w:rPr>
                <w:rFonts w:ascii="GHEA Grapalat" w:hAnsi="GHEA Grapalat"/>
                <w:lang w:eastAsia="en-US"/>
              </w:rPr>
              <w:t>Առավելագույն արագությունը` ----</w:t>
            </w:r>
            <w:r w:rsidRPr="00EA6468">
              <w:rPr>
                <w:rFonts w:ascii="GHEA Grapalat" w:hAnsi="GHEA Grapalat"/>
                <w:lang w:eastAsia="en-US"/>
              </w:rPr>
              <w:tab/>
              <w:t>90 կմ/ժ</w:t>
            </w:r>
          </w:p>
          <w:p w14:paraId="1223A84A" w14:textId="77777777" w:rsidR="0028073A" w:rsidRPr="00EA6468" w:rsidRDefault="0028073A" w:rsidP="001D1D55">
            <w:pPr>
              <w:rPr>
                <w:rFonts w:ascii="GHEA Grapalat" w:hAnsi="GHEA Grapalat"/>
                <w:lang w:eastAsia="en-US"/>
              </w:rPr>
            </w:pPr>
            <w:r w:rsidRPr="00EA6468">
              <w:rPr>
                <w:rFonts w:ascii="GHEA Grapalat" w:hAnsi="GHEA Grapalat"/>
                <w:lang w:eastAsia="en-US"/>
              </w:rPr>
              <w:t>Ձիաուժը`-----</w:t>
            </w:r>
            <w:r w:rsidRPr="00EA6468">
              <w:rPr>
                <w:rFonts w:ascii="GHEA Grapalat" w:hAnsi="GHEA Grapalat"/>
                <w:lang w:eastAsia="en-US"/>
              </w:rPr>
              <w:tab/>
              <w:t>210-220,</w:t>
            </w:r>
          </w:p>
          <w:p w14:paraId="7CFBCE9C" w14:textId="77777777" w:rsidR="0028073A" w:rsidRPr="00EA6468" w:rsidRDefault="0028073A" w:rsidP="001D1D55">
            <w:pPr>
              <w:rPr>
                <w:rFonts w:ascii="GHEA Grapalat" w:hAnsi="GHEA Grapalat"/>
                <w:lang w:eastAsia="en-US"/>
              </w:rPr>
            </w:pPr>
            <w:r w:rsidRPr="00EA6468">
              <w:rPr>
                <w:rFonts w:ascii="GHEA Grapalat" w:hAnsi="GHEA Grapalat"/>
                <w:lang w:eastAsia="en-US"/>
              </w:rPr>
              <w:t>Արտանետումների ստանդարտը`-----</w:t>
            </w:r>
            <w:r w:rsidRPr="00EA6468">
              <w:rPr>
                <w:rFonts w:ascii="GHEA Grapalat" w:hAnsi="GHEA Grapalat"/>
                <w:lang w:eastAsia="en-US"/>
              </w:rPr>
              <w:tab/>
              <w:t>Եվրո 3</w:t>
            </w:r>
          </w:p>
          <w:p w14:paraId="63322B8F" w14:textId="77777777" w:rsidR="0028073A" w:rsidRPr="00EA6468" w:rsidRDefault="0028073A" w:rsidP="001D1D55">
            <w:pPr>
              <w:rPr>
                <w:rFonts w:ascii="GHEA Grapalat" w:hAnsi="GHEA Grapalat"/>
                <w:lang w:eastAsia="en-US"/>
              </w:rPr>
            </w:pPr>
            <w:r w:rsidRPr="00EA6468">
              <w:rPr>
                <w:rFonts w:ascii="GHEA Grapalat" w:hAnsi="GHEA Grapalat"/>
                <w:lang w:eastAsia="en-US"/>
              </w:rPr>
              <w:t>Արգելակները`----</w:t>
            </w:r>
            <w:r w:rsidRPr="00EA6468">
              <w:rPr>
                <w:rFonts w:ascii="GHEA Grapalat" w:hAnsi="GHEA Grapalat"/>
                <w:lang w:eastAsia="en-US"/>
              </w:rPr>
              <w:tab/>
              <w:t>Օդային արգելակում</w:t>
            </w:r>
          </w:p>
          <w:p w14:paraId="16BDF494" w14:textId="77777777" w:rsidR="0028073A" w:rsidRPr="00EA6468" w:rsidRDefault="0028073A" w:rsidP="001D1D55">
            <w:pPr>
              <w:rPr>
                <w:rFonts w:ascii="GHEA Grapalat" w:hAnsi="GHEA Grapalat"/>
                <w:lang w:eastAsia="en-US"/>
              </w:rPr>
            </w:pPr>
            <w:r w:rsidRPr="00EA6468">
              <w:rPr>
                <w:rFonts w:ascii="GHEA Grapalat" w:hAnsi="GHEA Grapalat"/>
                <w:lang w:eastAsia="en-US"/>
              </w:rPr>
              <w:t>Խցիկում մարդկանց քանակը`</w:t>
            </w:r>
            <w:r w:rsidRPr="00EA6468">
              <w:rPr>
                <w:rFonts w:ascii="GHEA Grapalat" w:hAnsi="GHEA Grapalat"/>
                <w:lang w:eastAsia="en-US"/>
              </w:rPr>
              <w:tab/>
              <w:t>----2-3</w:t>
            </w:r>
          </w:p>
          <w:p w14:paraId="105C8D43" w14:textId="77777777" w:rsidR="0028073A" w:rsidRPr="00EA6468" w:rsidRDefault="0028073A" w:rsidP="001D1D55">
            <w:pPr>
              <w:autoSpaceDE w:val="0"/>
              <w:autoSpaceDN w:val="0"/>
              <w:adjustRightInd w:val="0"/>
              <w:rPr>
                <w:rFonts w:ascii="GHEA Grapalat" w:hAnsi="GHEA Grapalat"/>
                <w:lang w:eastAsia="en-US"/>
              </w:rPr>
            </w:pPr>
            <w:r w:rsidRPr="00EA6468">
              <w:rPr>
                <w:rFonts w:ascii="GHEA Grapalat" w:hAnsi="GHEA Grapalat"/>
                <w:lang w:eastAsia="en-US"/>
              </w:rPr>
              <w:t>Վառելիքը`-----</w:t>
            </w:r>
            <w:r w:rsidRPr="00EA6468">
              <w:rPr>
                <w:rFonts w:ascii="GHEA Grapalat" w:hAnsi="GHEA Grapalat"/>
                <w:lang w:eastAsia="en-US"/>
              </w:rPr>
              <w:tab/>
              <w:t>-Դիզել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FF5B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lang w:eastAsia="en-US"/>
              </w:rPr>
            </w:pPr>
            <w:r w:rsidRPr="00EA6468">
              <w:rPr>
                <w:rFonts w:ascii="GHEA Grapalat" w:hAnsi="GHEA Grapalat"/>
                <w:lang w:eastAsia="en-US"/>
              </w:rPr>
              <w:t>հատ</w:t>
            </w:r>
          </w:p>
          <w:p w14:paraId="338832DB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0B13CB83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11730CCD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05BECE65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0400BBD5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2B328444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4C08ECC9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0D70AAD2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3655FEED" w14:textId="77777777" w:rsidR="0028073A" w:rsidRPr="00EA6468" w:rsidRDefault="0028073A" w:rsidP="001D1D55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8C43" w14:textId="77777777" w:rsidR="0028073A" w:rsidRPr="00EA6468" w:rsidRDefault="0028073A" w:rsidP="001D1D55">
            <w:pPr>
              <w:rPr>
                <w:rFonts w:ascii="GHEA Grapalat" w:hAnsi="GHEA Grapalat"/>
                <w:lang w:eastAsia="en-US"/>
              </w:rPr>
            </w:pPr>
            <w:r w:rsidRPr="00EA6468">
              <w:rPr>
                <w:rFonts w:ascii="GHEA Grapalat" w:hAnsi="GHEA Grapalat"/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A8BA" w14:textId="77777777" w:rsidR="0028073A" w:rsidRPr="00EA6468" w:rsidRDefault="0028073A" w:rsidP="001D1D55">
            <w:pPr>
              <w:jc w:val="center"/>
              <w:rPr>
                <w:rFonts w:ascii="GHEA Grapalat" w:eastAsia="DejaVuSans" w:hAnsi="GHEA Grapalat" w:cs="DejaVuSans"/>
                <w:b/>
                <w:bCs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20496000.00</w:t>
            </w:r>
          </w:p>
        </w:tc>
      </w:tr>
    </w:tbl>
    <w:p w14:paraId="7785EF36" w14:textId="77777777" w:rsidR="0028073A" w:rsidRPr="00EA6468" w:rsidRDefault="0028073A" w:rsidP="0028073A">
      <w:pPr>
        <w:rPr>
          <w:rFonts w:ascii="GHEA Grapalat" w:hAnsi="GHEA Grapalat"/>
        </w:rPr>
      </w:pPr>
    </w:p>
    <w:p w14:paraId="790D1E78" w14:textId="77777777" w:rsidR="003513DD" w:rsidRDefault="003513DD"/>
    <w:sectPr w:rsidR="003513DD" w:rsidSect="0028073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51"/>
    <w:rsid w:val="0028073A"/>
    <w:rsid w:val="003513DD"/>
    <w:rsid w:val="0056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63D6"/>
  <w15:chartTrackingRefBased/>
  <w15:docId w15:val="{C8D7A098-6AB6-472B-9248-EA62FF6B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28073A"/>
    <w:pPr>
      <w:spacing w:before="100" w:beforeAutospacing="1" w:after="100" w:afterAutospacing="1"/>
    </w:pPr>
    <w:rPr>
      <w:rFonts w:ascii="GHEA Grapalat" w:hAnsi="GHEA Grapalat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28073A"/>
    <w:rPr>
      <w:rFonts w:ascii="GHEA Grapalat" w:eastAsia="Times New Roman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073A"/>
    <w:rPr>
      <w:b/>
      <w:bCs/>
    </w:rPr>
  </w:style>
  <w:style w:type="table" w:styleId="a6">
    <w:name w:val="Table Grid"/>
    <w:basedOn w:val="a1"/>
    <w:uiPriority w:val="59"/>
    <w:rsid w:val="0028073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dcterms:created xsi:type="dcterms:W3CDTF">2026-02-25T12:03:00Z</dcterms:created>
  <dcterms:modified xsi:type="dcterms:W3CDTF">2026-02-25T12:03:00Z</dcterms:modified>
</cp:coreProperties>
</file>