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F56E7" w14:textId="77777777" w:rsidR="008B4958" w:rsidRDefault="008B4958" w:rsidP="008B4958">
      <w:pPr>
        <w:pStyle w:val="a7"/>
        <w:spacing w:before="100" w:beforeAutospacing="1" w:after="100" w:afterAutospacing="1"/>
        <w:jc w:val="both"/>
        <w:rPr>
          <w:rStyle w:val="a9"/>
          <w:rFonts w:ascii="GHEA Grapalat" w:hAnsi="GHEA Grapalat"/>
          <w:lang w:val="hy-AM"/>
        </w:rPr>
      </w:pPr>
    </w:p>
    <w:p w14:paraId="49C5B049" w14:textId="77777777" w:rsidR="008B4958" w:rsidRPr="00B8110D" w:rsidRDefault="008B4958" w:rsidP="008B4958">
      <w:pPr>
        <w:pStyle w:val="a7"/>
        <w:jc w:val="right"/>
        <w:rPr>
          <w:rStyle w:val="a5"/>
          <w:rFonts w:ascii="GHEA Grapalat" w:hAnsi="GHEA Grapalat"/>
          <w:b w:val="0"/>
          <w:bCs w:val="0"/>
          <w:lang w:val="hy-AM"/>
        </w:rPr>
      </w:pPr>
      <w:r w:rsidRPr="00B8110D">
        <w:rPr>
          <w:rStyle w:val="a9"/>
          <w:rFonts w:ascii="GHEA Grapalat" w:hAnsi="GHEA Grapalat" w:cs="Sylfaen"/>
          <w:lang w:val="hy-AM"/>
        </w:rPr>
        <w:t xml:space="preserve"> </w:t>
      </w:r>
      <w:r w:rsidRPr="00B8110D">
        <w:rPr>
          <w:rStyle w:val="a5"/>
          <w:rFonts w:ascii="GHEA Grapalat" w:hAnsi="GHEA Grapalat"/>
          <w:b w:val="0"/>
          <w:bCs w:val="0"/>
          <w:lang w:val="hy-AM"/>
        </w:rPr>
        <w:t xml:space="preserve">Հավելված </w:t>
      </w:r>
      <w:r w:rsidRPr="00B8110D">
        <w:rPr>
          <w:rStyle w:val="a5"/>
          <w:rFonts w:ascii="GHEA Grapalat" w:hAnsi="GHEA Grapalat"/>
          <w:b w:val="0"/>
          <w:bCs w:val="0"/>
          <w:lang w:val="hy-AM"/>
        </w:rPr>
        <w:br/>
        <w:t xml:space="preserve">ՀՀ Լոռու մարզի </w:t>
      </w:r>
      <w:r w:rsidRPr="00B8110D">
        <w:rPr>
          <w:rStyle w:val="a5"/>
          <w:rFonts w:ascii="GHEA Grapalat" w:hAnsi="GHEA Grapalat"/>
          <w:b w:val="0"/>
          <w:bCs w:val="0"/>
          <w:lang w:val="hy-AM"/>
        </w:rPr>
        <w:br/>
        <w:t>Տաշիր համայնքի ավագանու</w:t>
      </w:r>
    </w:p>
    <w:p w14:paraId="4008CE97" w14:textId="77777777" w:rsidR="008B4958" w:rsidRPr="00B8110D" w:rsidRDefault="008B4958" w:rsidP="008B4958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B8110D">
        <w:rPr>
          <w:rStyle w:val="a5"/>
          <w:b w:val="0"/>
          <w:bCs w:val="0"/>
          <w:lang w:val="hy-AM"/>
        </w:rPr>
        <w:t xml:space="preserve">2026 թվականի փետրվարի 26-ի N 26 -Ա </w:t>
      </w:r>
    </w:p>
    <w:p w14:paraId="2CEA4A2D" w14:textId="77777777" w:rsidR="008B4958" w:rsidRPr="00B8110D" w:rsidRDefault="008B4958" w:rsidP="008B4958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332C7997" w14:textId="77777777" w:rsidR="008B4958" w:rsidRPr="006D0DA1" w:rsidRDefault="008B4958" w:rsidP="008B4958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4C415625" w14:textId="77777777" w:rsidR="008B4958" w:rsidRPr="006D0DA1" w:rsidRDefault="008B4958" w:rsidP="008B4958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6D0DA1">
        <w:rPr>
          <w:rFonts w:ascii="GHEA Grapalat" w:eastAsia="GHEA Grapalat" w:hAnsi="GHEA Grapalat" w:cs="GHEA Grapalat"/>
          <w:b/>
          <w:bCs/>
          <w:color w:val="000000"/>
          <w:sz w:val="21"/>
          <w:szCs w:val="21"/>
          <w:lang w:val="hy-AM"/>
        </w:rPr>
        <w:t>Հ Ա Յ Տ</w:t>
      </w:r>
    </w:p>
    <w:p w14:paraId="01929D71" w14:textId="77777777" w:rsidR="008B4958" w:rsidRPr="006D0DA1" w:rsidRDefault="008B4958" w:rsidP="008B4958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6D0DA1">
        <w:rPr>
          <w:rFonts w:ascii="Courier New" w:eastAsia="Courier New" w:hAnsi="Courier New" w:cs="Courier New"/>
          <w:color w:val="000000"/>
          <w:sz w:val="21"/>
          <w:szCs w:val="21"/>
          <w:lang w:val="hy-AM"/>
        </w:rPr>
        <w:t> </w:t>
      </w:r>
    </w:p>
    <w:p w14:paraId="70AE9CEA" w14:textId="77777777" w:rsidR="008B4958" w:rsidRPr="006D0DA1" w:rsidRDefault="008B4958" w:rsidP="008B4958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6D0DA1">
        <w:rPr>
          <w:rFonts w:ascii="GHEA Grapalat" w:eastAsia="GHEA Grapalat" w:hAnsi="GHEA Grapalat" w:cs="GHEA Grapalat"/>
          <w:b/>
          <w:bCs/>
          <w:color w:val="000000"/>
          <w:sz w:val="21"/>
          <w:szCs w:val="21"/>
          <w:lang w:val="hy-AM"/>
        </w:rPr>
        <w:t>Հայաստանի Հանրապետության համայնքների տնտեսական և սոցիալական ենթակառուցվածքների զարգացմանն ուղղված սուբվենցիաների</w:t>
      </w:r>
    </w:p>
    <w:p w14:paraId="75C6A4EE" w14:textId="77777777" w:rsidR="008B4958" w:rsidRPr="006D0DA1" w:rsidRDefault="008B4958" w:rsidP="008B4958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6D0DA1">
        <w:rPr>
          <w:rFonts w:ascii="Courier New" w:eastAsia="Courier New" w:hAnsi="Courier New" w:cs="Courier New"/>
          <w:color w:val="000000"/>
          <w:sz w:val="21"/>
          <w:szCs w:val="21"/>
          <w:lang w:val="hy-AM"/>
        </w:rPr>
        <w:t> </w:t>
      </w:r>
    </w:p>
    <w:tbl>
      <w:tblPr>
        <w:tblW w:w="108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5"/>
        <w:gridCol w:w="105"/>
        <w:gridCol w:w="6900"/>
      </w:tblGrid>
      <w:tr w:rsidR="008B4958" w14:paraId="7A7298E1" w14:textId="77777777" w:rsidTr="001D1D55">
        <w:trPr>
          <w:jc w:val="center"/>
        </w:trPr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0B247CE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անվանումը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7981BA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" w:right="37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«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ՀՀ Լոռու մարզի Տաշիր համայնքի համար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3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 նախադպրոցական ուսումնական հաստատություն» ՀՈԱԿ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-ի 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տիպային շենքի կառուցում</w:t>
            </w:r>
          </w:p>
        </w:tc>
      </w:tr>
      <w:tr w:rsidR="008B4958" w14:paraId="11506A37" w14:textId="77777777" w:rsidTr="001D1D55">
        <w:trPr>
          <w:jc w:val="center"/>
        </w:trPr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95FE78D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Մարզ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2D0C9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</w:rPr>
              <w:t>Լոռ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ի</w:t>
            </w:r>
          </w:p>
        </w:tc>
      </w:tr>
      <w:tr w:rsidR="008B4958" w14:paraId="3CAC7863" w14:textId="77777777" w:rsidTr="001D1D55">
        <w:trPr>
          <w:jc w:val="center"/>
        </w:trPr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507867D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Համայնքը /համայնքները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BF4054" w14:textId="77777777" w:rsidR="008B4958" w:rsidRDefault="008B4958" w:rsidP="001D1D55">
            <w:pPr>
              <w:widowControl w:val="0"/>
              <w:tabs>
                <w:tab w:val="left" w:pos="4933"/>
              </w:tabs>
              <w:spacing w:before="13"/>
              <w:ind w:left="20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Համայնքը՝ Տաշիր,</w:t>
            </w:r>
          </w:p>
          <w:p w14:paraId="7013A4F7" w14:textId="77777777" w:rsidR="008B4958" w:rsidRDefault="008B4958" w:rsidP="001D1D55">
            <w:pPr>
              <w:widowControl w:val="0"/>
              <w:tabs>
                <w:tab w:val="left" w:pos="4933"/>
              </w:tabs>
              <w:spacing w:before="13"/>
              <w:ind w:left="20" w:right="9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Մասնակից բնակավայրը՝ Տաշիր</w:t>
            </w:r>
          </w:p>
        </w:tc>
      </w:tr>
      <w:tr w:rsidR="008B4958" w14:paraId="393FC865" w14:textId="77777777" w:rsidTr="001D1D55">
        <w:trPr>
          <w:jc w:val="center"/>
        </w:trPr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935418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/բնակավայրի հեռավորությունը մայրաքաղաք Երևանից, ինչպես նաև մարզկենտրոնից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0DE64D" w14:textId="77777777" w:rsidR="008B4958" w:rsidRDefault="008B4958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հեռավորությունը</w:t>
            </w:r>
          </w:p>
          <w:p w14:paraId="3A48D9AF" w14:textId="77777777" w:rsidR="008B4958" w:rsidRDefault="008B4958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մայրաքաղաքից՝ 161/ 174 / 145 կմ է,</w:t>
            </w:r>
          </w:p>
          <w:p w14:paraId="17D3F3E1" w14:textId="77777777" w:rsidR="008B4958" w:rsidRDefault="008B4958" w:rsidP="001D1D55">
            <w:pPr>
              <w:ind w:right="9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մարզկենտրոնից ՝ 52/ 73/ 44 կմ</w:t>
            </w:r>
          </w:p>
        </w:tc>
      </w:tr>
      <w:tr w:rsidR="008B4958" w14:paraId="72D3B24D" w14:textId="77777777" w:rsidTr="001D1D55">
        <w:trPr>
          <w:jc w:val="center"/>
        </w:trPr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EF7935F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/բնակավայրի բնակչությունը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DD84B1" w14:textId="77777777" w:rsidR="008B4958" w:rsidRDefault="008B4958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համայնքի՝ 30408 մարդ: </w:t>
            </w:r>
          </w:p>
          <w:p w14:paraId="7F386AB1" w14:textId="77777777" w:rsidR="008B4958" w:rsidRDefault="008B4958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Բնակավայրինը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3261F3D3" w14:textId="77777777" w:rsidR="008B4958" w:rsidRDefault="008B4958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Տաշիր՝ 12593 մարդ</w:t>
            </w:r>
          </w:p>
        </w:tc>
      </w:tr>
      <w:tr w:rsidR="008B4958" w14:paraId="7A53051D" w14:textId="77777777" w:rsidTr="001D1D55">
        <w:trPr>
          <w:jc w:val="center"/>
        </w:trPr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6C2D35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 xml:space="preserve">Սահմանամերձ համայնք/բնակավայր 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0F2032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Ոչ</w:t>
            </w:r>
          </w:p>
        </w:tc>
      </w:tr>
      <w:tr w:rsidR="008B4958" w14:paraId="418D8EFA" w14:textId="77777777" w:rsidTr="001D1D55">
        <w:trPr>
          <w:jc w:val="center"/>
        </w:trPr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DF81967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Բարձր լեռնային համայնք /բնակավայրի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F3659A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</w:rPr>
              <w:t>Ո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չ</w:t>
            </w:r>
          </w:p>
        </w:tc>
      </w:tr>
      <w:tr w:rsidR="008B4958" w14:paraId="3EEA0CAE" w14:textId="77777777" w:rsidTr="001D1D55">
        <w:trPr>
          <w:trHeight w:val="362"/>
          <w:jc w:val="center"/>
        </w:trPr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EB2D1FA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" w:right="168"/>
              <w:rPr>
                <w:rFonts w:ascii="GHEA Grapalat" w:eastAsia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</w:rPr>
              <w:t>Համայնքի գլխավոր հատակագծի առկայություն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E56C2" w14:textId="77777777" w:rsidR="008B4958" w:rsidRDefault="008B4958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Այո</w:t>
            </w:r>
          </w:p>
          <w:p w14:paraId="55C342E4" w14:textId="77777777" w:rsidR="008B4958" w:rsidRDefault="008B4958" w:rsidP="001D1D55">
            <w:pPr>
              <w:ind w:right="9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23/05/2024թ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։</w:t>
            </w:r>
          </w:p>
        </w:tc>
      </w:tr>
      <w:tr w:rsidR="008B4958" w14:paraId="104CB7C0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3F53F9C" w14:textId="77777777" w:rsidR="008B4958" w:rsidRDefault="008B4958" w:rsidP="001D1D55">
            <w:pPr>
              <w:spacing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բնակավայրի ենթակառուցվածքների վերաբերյալ հակիրճ տեղեկատվություն</w:t>
            </w:r>
            <w:r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  <w:t>՝</w:t>
            </w:r>
            <w:r>
              <w:rPr>
                <w:rFonts w:ascii="Courier New" w:eastAsia="Courier New" w:hAnsi="Courier New" w:cs="Courier New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հստակ նշելով՝</w:t>
            </w:r>
          </w:p>
          <w:p w14:paraId="629619B0" w14:textId="77777777" w:rsidR="008B4958" w:rsidRDefault="008B4958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ջրամատակարարման և ջրահեռացման համակարգից օգտվող համայնքի բնակչության տոկոսը և ջրամատակարարման տևողությունը,</w:t>
            </w:r>
          </w:p>
          <w:p w14:paraId="336462DC" w14:textId="77777777" w:rsidR="008B4958" w:rsidRDefault="008B4958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գազամատակարարման համակարգից օգտվող համայնքի բնակչության տոկոսը,</w:t>
            </w:r>
          </w:p>
          <w:p w14:paraId="2D31574F" w14:textId="77777777" w:rsidR="008B4958" w:rsidRDefault="008B4958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- ոռոգման համակարգից օգտվող բնակչության տոկոսը և համայնքում գյուղատնտեսական հողերից ոռոգվող հողատարածքների տոկոսը,</w:t>
            </w:r>
          </w:p>
          <w:p w14:paraId="58EF2CD1" w14:textId="77777777" w:rsidR="008B4958" w:rsidRDefault="008B4958" w:rsidP="001D1D55">
            <w:pPr>
              <w:spacing w:before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լուսավորության համակարգի առկայությամբ փողոցների տոկոսը՝ համայնքի ընդհանուր փողոցների մեջ և նշել էներգախնայող և ԼԵԴ լուսավորություն է, թե ոչ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733D3" w14:textId="77777777" w:rsidR="008B4958" w:rsidRDefault="008B4958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-Ջրամատակարարման և ջրահեռացման համակարգ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45AC270E" w14:textId="77777777" w:rsidR="008B4958" w:rsidRDefault="008B4958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</w:p>
          <w:p w14:paraId="78631228" w14:textId="77777777" w:rsidR="008B4958" w:rsidRDefault="008B4958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համայնքում  ջրամատակարարման համակարգը հասանելի է բնակչության 98,5%-ին։ Բացի Տաշիր (35%) և Մեծավան բնակավայրերից (10%), մյուս՝ 22 բնակավայրում բացակայում է ջրահեռացումը։ </w:t>
            </w:r>
          </w:p>
          <w:p w14:paraId="0BBC9314" w14:textId="77777777" w:rsidR="008B4958" w:rsidRDefault="008B4958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բնակավայրում ջրամատակարարման համակարգը հասանելի է բնակչության 100%-ին։ Ջրամատակարարման տևողությունը շուրջօրյա է։ Բնակավայրում ջրահեռացումը հասանելի է բնակչության 35%-ին:</w:t>
            </w:r>
          </w:p>
          <w:p w14:paraId="5C631432" w14:textId="77777777" w:rsidR="008B4958" w:rsidRDefault="008B4958" w:rsidP="001D1D55">
            <w:pPr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-Գազամատակարարման համակարգ</w:t>
            </w:r>
          </w:p>
          <w:p w14:paraId="600AA944" w14:textId="77777777" w:rsidR="008B4958" w:rsidRDefault="008B4958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համայնքում գազամատակարարմամբ ապահովված է համայնքի բնակավայրերի 48,8%-ը։</w:t>
            </w:r>
          </w:p>
          <w:p w14:paraId="140C6D26" w14:textId="77777777" w:rsidR="008B4958" w:rsidRDefault="008B4958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Տաշիր բնակավայրում գազամատակարարումը հասանելի է բնակչության 100%-ին:</w:t>
            </w:r>
          </w:p>
          <w:p w14:paraId="3BC3FD4F" w14:textId="77777777" w:rsidR="008B4958" w:rsidRDefault="008B4958" w:rsidP="001D1D55">
            <w:pPr>
              <w:widowControl w:val="0"/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- Ոռոգման համակարգ</w:t>
            </w:r>
          </w:p>
          <w:p w14:paraId="68D98382" w14:textId="77777777" w:rsidR="008B4958" w:rsidRDefault="008B4958" w:rsidP="001D1D55">
            <w:pPr>
              <w:widowControl w:val="0"/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համայնքի հողերը անջրդի են։</w:t>
            </w:r>
          </w:p>
          <w:p w14:paraId="7B96FAD3" w14:textId="77777777" w:rsidR="008B4958" w:rsidRDefault="008B4958" w:rsidP="001D1D55">
            <w:pPr>
              <w:spacing w:before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</w:rPr>
              <w:t xml:space="preserve">-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Լուսավորության համակարգ</w:t>
            </w:r>
          </w:p>
          <w:p w14:paraId="6A21605E" w14:textId="77777777" w:rsidR="008B4958" w:rsidRDefault="008B4958" w:rsidP="001D1D55">
            <w:pPr>
              <w:widowControl w:val="0"/>
              <w:spacing w:before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համայնքը ապահովված է լուսավորության համակարգով: Բնակավայրերի գիշերային լուսավորությունը կազմում է 78.6%։ 15 բնակավայրի լուսատուները ԼԵԴ և էներգախնայող են։ </w:t>
            </w:r>
          </w:p>
          <w:p w14:paraId="1D7AEFC2" w14:textId="77777777" w:rsidR="008B4958" w:rsidRDefault="008B4958" w:rsidP="001D1D55">
            <w:pPr>
              <w:widowControl w:val="0"/>
              <w:spacing w:before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բնակավայրը ապահովված է լուսավորության համակարգով: Բնակավայրի գիշերային լուսավորությունը կազմում է 95%, բոլորը ԼԵԴ և էներգախնայող լուսատուներ են։</w:t>
            </w:r>
          </w:p>
        </w:tc>
      </w:tr>
      <w:tr w:rsidR="008B4958" w14:paraId="01BFAE69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A320528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ընդհանուր նկարագրությունը և դրա իրականացման անհրաժեշտությունը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FCC984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նպատակն է Տաշիր համայնքի Տաշիր բնակավայրում կառուցել 100 տեղանոց տիպային մանկապարտեզ՝ ապահովելով Տաշիր բնակավայրի երեխաների բոլոր երեխաների ժամանակին հաճախումը մանկապարտեզ։</w:t>
            </w:r>
          </w:p>
          <w:p w14:paraId="4BCB9BB4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Այս պահին Տաշիր համայնքի Տաշիրն բնակավայրում կան 323 երեխա, ովքեր պետք է հաճախեն մանկապարտեզ, սակայն տեղերի սահմանափակությամբ պայմանավորված մանկապարտեզ է հաճախում 168 երեխա։</w:t>
            </w:r>
          </w:p>
          <w:p w14:paraId="5D211E8F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</w:p>
          <w:p w14:paraId="5A9E2971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Սույն ծրագրի համար նախագծանախահաշվային փաստաթղթերի հիմք է հանդիսացել Հայաստանի տարածքային զարգացման հիմնադրամկի կողմից առաջարկված 100 տեղանոց, 2 հարկանի մանկապարտեզի նախագիծը։</w:t>
            </w:r>
          </w:p>
          <w:p w14:paraId="00A8B78F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</w:p>
          <w:p w14:paraId="6396A4D1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Ծրագրով իրականացվելու են հետևյակ աշխատանքները. </w:t>
            </w:r>
          </w:p>
          <w:p w14:paraId="253DC4CA" w14:textId="77777777" w:rsidR="008B4958" w:rsidRDefault="008B4958" w:rsidP="008B495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Սուբվենցիոն ծրագրի հաստատումից հետո,  գնումների ընթացակարգին համապատասխան գործընթացի կազմակերպում,</w:t>
            </w:r>
          </w:p>
          <w:p w14:paraId="4DB336AC" w14:textId="77777777" w:rsidR="008B4958" w:rsidRDefault="008B4958" w:rsidP="008B495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համայնքի Տաշիր քաղաքի համար 3 ՆՈՒՀ ՀՈԱԿ-ի հին մասնաշենքերի քանդում,</w:t>
            </w:r>
          </w:p>
          <w:p w14:paraId="6F4554A6" w14:textId="77777777" w:rsidR="008B4958" w:rsidRDefault="008B4958" w:rsidP="008B4958">
            <w:pPr>
              <w:numPr>
                <w:ilvl w:val="0"/>
                <w:numId w:val="23"/>
              </w:numPr>
              <w:spacing w:before="280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Նոր, տիպային մանկապարտեզի կառուցում,</w:t>
            </w:r>
          </w:p>
          <w:p w14:paraId="51CD6149" w14:textId="77777777" w:rsidR="008B4958" w:rsidRDefault="008B4958" w:rsidP="008B4958">
            <w:pPr>
              <w:numPr>
                <w:ilvl w:val="0"/>
                <w:numId w:val="23"/>
              </w:numPr>
              <w:spacing w:before="280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Արևային վահանակի տեղադրում,</w:t>
            </w:r>
          </w:p>
          <w:p w14:paraId="4F1A0675" w14:textId="77777777" w:rsidR="008B4958" w:rsidRDefault="008B4958" w:rsidP="008B4958">
            <w:pPr>
              <w:numPr>
                <w:ilvl w:val="0"/>
                <w:numId w:val="23"/>
              </w:numPr>
              <w:spacing w:before="280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Մանկապարտեզի տարածքի ամբողջական բարեկարգում և գույքով ապահովում,</w:t>
            </w:r>
          </w:p>
          <w:p w14:paraId="3476A7A6" w14:textId="77777777" w:rsidR="008B4958" w:rsidRDefault="008B4958" w:rsidP="008B4958">
            <w:pPr>
              <w:numPr>
                <w:ilvl w:val="0"/>
                <w:numId w:val="23"/>
              </w:numPr>
              <w:spacing w:before="280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ավարտ և հանձնում շահառուներին։</w:t>
            </w:r>
          </w:p>
          <w:p w14:paraId="470A496C" w14:textId="77777777" w:rsidR="008B4958" w:rsidRDefault="008B4958" w:rsidP="001D1D55">
            <w:pPr>
              <w:spacing w:before="280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Մանկապարտեզի կառուցումը անհրաժեշտ է, քանի որ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70AF7DF6" w14:textId="77777777" w:rsidR="008B4958" w:rsidRDefault="008B4958" w:rsidP="008B4958">
            <w:pPr>
              <w:numPr>
                <w:ilvl w:val="0"/>
                <w:numId w:val="21"/>
              </w:numPr>
              <w:spacing w:before="24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Արդեն գործող մանկապարտեզները գերծանրաբեռնված են և հերթագրված երեխաների թիվը մեծ է,</w:t>
            </w:r>
          </w:p>
          <w:p w14:paraId="17803C62" w14:textId="77777777" w:rsidR="008B4958" w:rsidRDefault="008B4958" w:rsidP="008B4958">
            <w:pPr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բնակավայրի գործող 3 մանկապարտեզներից 2-ը գտնվում են անմխիթար վիճակում,</w:t>
            </w:r>
          </w:p>
          <w:p w14:paraId="2D993260" w14:textId="77777777" w:rsidR="008B4958" w:rsidRDefault="008B4958" w:rsidP="008B4958">
            <w:pPr>
              <w:numPr>
                <w:ilvl w:val="0"/>
                <w:numId w:val="25"/>
              </w:numPr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Շատ ընտանիքների երեխաներ զրկված են նախադպրոցական կրթությունից՝ մանկապարտեզներում տեղ չլինելու պատճառով,</w:t>
            </w:r>
          </w:p>
          <w:p w14:paraId="692E5E3F" w14:textId="77777777" w:rsidR="008B4958" w:rsidRDefault="008B4958" w:rsidP="008B4958">
            <w:pPr>
              <w:numPr>
                <w:ilvl w:val="0"/>
                <w:numId w:val="18"/>
              </w:numPr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Նոր մանկապարտեզի առկայությունը հնարավորություն կտա ծնողներին՝ հատկապես մայրերին, վերադառնալ աշխատանքի, զբաղվել ձեռնարկատիրական գործունեությամբ կամ շարունակել ինքնազարգացումը/կրթությունը, որը կնպաստի համայնքի տնտեսական ակտիվությանը,</w:t>
            </w:r>
          </w:p>
          <w:p w14:paraId="32E27AC4" w14:textId="77777777" w:rsidR="008B4958" w:rsidRDefault="008B4958" w:rsidP="008B4958">
            <w:pPr>
              <w:numPr>
                <w:ilvl w:val="0"/>
                <w:numId w:val="18"/>
              </w:numPr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Մանկապարտեզը նպաստում է երեխայի սոցիալական, մտավոր և շարժողական հմտությունների ձևավորմանը,</w:t>
            </w:r>
          </w:p>
          <w:p w14:paraId="358C8FEA" w14:textId="77777777" w:rsidR="008B4958" w:rsidRDefault="008B4958" w:rsidP="008B4958">
            <w:pPr>
              <w:numPr>
                <w:ilvl w:val="0"/>
                <w:numId w:val="17"/>
              </w:numPr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Նախադպրոցական կրթությունը ֆունդամենտալ է և ունի խիստ կարևոր նշանակություն երեխայի հետագա կրթական հաջողությունների համար,</w:t>
            </w:r>
          </w:p>
          <w:p w14:paraId="6C79CE42" w14:textId="77777777" w:rsidR="008B4958" w:rsidRDefault="008B4958" w:rsidP="008B4958">
            <w:pPr>
              <w:numPr>
                <w:ilvl w:val="0"/>
                <w:numId w:val="24"/>
              </w:numPr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Մանկապարտեզի առկայությունը բոլոր երեխաներին հավասար կրթություն ստանալու հնարավորություն է տալիս՝ անկախ ընտանիքի սոցիալ-տնտեսական վիճակից,</w:t>
            </w:r>
          </w:p>
          <w:p w14:paraId="17EABA68" w14:textId="77777777" w:rsidR="008B4958" w:rsidRDefault="008B4958" w:rsidP="008B4958">
            <w:pPr>
              <w:numPr>
                <w:ilvl w:val="0"/>
                <w:numId w:val="24"/>
              </w:numPr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Մանկապարտեզների հասանելիությունը նվազեցնում է կրթական խտրականությունը,</w:t>
            </w:r>
          </w:p>
          <w:p w14:paraId="22FDE826" w14:textId="77777777" w:rsidR="008B4958" w:rsidRDefault="008B4958" w:rsidP="008B4958">
            <w:pPr>
              <w:numPr>
                <w:ilvl w:val="0"/>
                <w:numId w:val="24"/>
              </w:numPr>
              <w:spacing w:after="24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Մանկապարտեզի կառուցումը նպաստում է  աշխատատեղերի ստեղծմանը։</w:t>
            </w:r>
          </w:p>
        </w:tc>
      </w:tr>
      <w:tr w:rsidR="008B4958" w14:paraId="63C6A79D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19292E4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ակնկալվող արդյունքները, որոնց միջոցով պետք է հասնել ծրագրի իրականացման նպատակին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19F6C4" w14:textId="77777777" w:rsidR="008B4958" w:rsidRDefault="008B4958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Ծրագիրը բխում է Տաշիր համայնքի 2023-2027թ. հնգամյա զարգացման ռազմավարությունից, որտեղ կարևորվել է Տաշիր քաղաքի 3 մանկապարտեզներից 2-ի հիմնանորոգման հարցը, որոնցից մեկը նախատեսվում է վերանորոգել 2026թ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-ին, մյուսը՝ 2027թ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-ին։ </w:t>
            </w:r>
          </w:p>
          <w:p w14:paraId="021CA80E" w14:textId="77777777" w:rsidR="008B4958" w:rsidRDefault="008B4958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spacing w:before="240" w:after="24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Մանկապարտեզի կառուցման ակնկալվող արդյունքներն են,</w:t>
            </w:r>
          </w:p>
          <w:p w14:paraId="2067D550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spacing w:before="280" w:after="80"/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bookmarkStart w:id="0" w:name="_heading=h.s6ygvnma4ua9" w:colFirst="0" w:colLast="0"/>
            <w:bookmarkEnd w:id="0"/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Կրթական արդյունքներ</w:t>
            </w:r>
            <w:r>
              <w:rPr>
                <w:rFonts w:ascii="Cambria Math" w:eastAsia="GHEA Grapalat" w:hAnsi="Cambria Math" w:cs="Cambria Math"/>
                <w:i/>
                <w:iCs/>
                <w:color w:val="000000"/>
                <w:sz w:val="22"/>
                <w:szCs w:val="22"/>
              </w:rPr>
              <w:t>․</w:t>
            </w:r>
          </w:p>
          <w:p w14:paraId="4A6F28B1" w14:textId="77777777" w:rsidR="008B4958" w:rsidRDefault="008B4958" w:rsidP="008B4958">
            <w:pPr>
              <w:widowControl w:val="0"/>
              <w:numPr>
                <w:ilvl w:val="0"/>
                <w:numId w:val="1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spacing w:before="24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Երեխաների նախադպրոցական կրթության որակի բարձրացում՝</w:t>
            </w:r>
          </w:p>
          <w:p w14:paraId="2578FBD9" w14:textId="77777777" w:rsidR="008B4958" w:rsidRDefault="008B4958" w:rsidP="008B4958">
            <w:pPr>
              <w:widowControl w:val="0"/>
              <w:numPr>
                <w:ilvl w:val="1"/>
                <w:numId w:val="1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Երեխաները ձեռք կբերեն տարիքին համապատասխան գիտելիքներ ու հմտություններ։</w:t>
            </w:r>
          </w:p>
          <w:p w14:paraId="2D627CBD" w14:textId="77777777" w:rsidR="008B4958" w:rsidRDefault="008B4958" w:rsidP="008B4958">
            <w:pPr>
              <w:widowControl w:val="0"/>
              <w:numPr>
                <w:ilvl w:val="1"/>
                <w:numId w:val="1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Կզարգանա նրանց խոսքը, մտածողությունը, ստեղծագործական ունակությունները։</w:t>
            </w:r>
          </w:p>
          <w:p w14:paraId="36582E63" w14:textId="77777777" w:rsidR="008B4958" w:rsidRDefault="008B4958" w:rsidP="008B4958">
            <w:pPr>
              <w:widowControl w:val="0"/>
              <w:numPr>
                <w:ilvl w:val="0"/>
                <w:numId w:val="1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Երեխաների դպրոցին պատրաստվածության մակարդակի բարձրացում</w:t>
            </w:r>
          </w:p>
          <w:p w14:paraId="6FF849A1" w14:textId="77777777" w:rsidR="008B4958" w:rsidRDefault="008B4958" w:rsidP="008B4958">
            <w:pPr>
              <w:widowControl w:val="0"/>
              <w:numPr>
                <w:ilvl w:val="1"/>
                <w:numId w:val="1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spacing w:after="24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Կլինի հարթ անցում նախադպրոցական կրթությունից դեպի դպրոցական կրթություն։</w:t>
            </w:r>
          </w:p>
          <w:p w14:paraId="232D9223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spacing w:before="280" w:after="80"/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bookmarkStart w:id="1" w:name="_heading=h.4a9lyofp5v0u" w:colFirst="0" w:colLast="0"/>
            <w:bookmarkEnd w:id="1"/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Սոցիալ-տնտեսական արդյունքներ</w:t>
            </w:r>
            <w:r>
              <w:rPr>
                <w:rFonts w:ascii="Cambria Math" w:eastAsia="GHEA Grapalat" w:hAnsi="Cambria Math" w:cs="Cambria Math"/>
                <w:i/>
                <w:iCs/>
                <w:color w:val="000000"/>
                <w:sz w:val="22"/>
                <w:szCs w:val="22"/>
              </w:rPr>
              <w:t>․</w:t>
            </w:r>
          </w:p>
          <w:p w14:paraId="264C0AE1" w14:textId="77777777" w:rsidR="008B4958" w:rsidRDefault="008B4958" w:rsidP="008B4958">
            <w:pPr>
              <w:widowControl w:val="0"/>
              <w:numPr>
                <w:ilvl w:val="0"/>
                <w:numId w:val="1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spacing w:before="24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Ծնողների մասնագիտական ներգրավվածության աճ</w:t>
            </w:r>
          </w:p>
          <w:p w14:paraId="4E4A1C20" w14:textId="77777777" w:rsidR="008B4958" w:rsidRDefault="008B4958" w:rsidP="008B4958">
            <w:pPr>
              <w:widowControl w:val="0"/>
              <w:numPr>
                <w:ilvl w:val="1"/>
                <w:numId w:val="1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Ծնողները կկարողանան վերադառնալ աշխատանքի կամ այլ գործունեություն ծավալել՝ վստահ լինելով, որ իրենց երեխաները ապահով միջավայրում են։</w:t>
            </w:r>
          </w:p>
          <w:p w14:paraId="0C25CEEC" w14:textId="77777777" w:rsidR="008B4958" w:rsidRDefault="008B4958" w:rsidP="008B4958">
            <w:pPr>
              <w:widowControl w:val="0"/>
              <w:numPr>
                <w:ilvl w:val="0"/>
                <w:numId w:val="1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Աշխատատեղերի ստեղծում համայնքում</w:t>
            </w:r>
          </w:p>
          <w:p w14:paraId="217FD84D" w14:textId="77777777" w:rsidR="008B4958" w:rsidRDefault="008B4958" w:rsidP="008B4958">
            <w:pPr>
              <w:widowControl w:val="0"/>
              <w:numPr>
                <w:ilvl w:val="1"/>
                <w:numId w:val="1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Նոր մանկապարտեզը կավելացնի աշխատատեղերի քանակը, ներառելով դաստիարակների, խոհարարների, տեխնիկական անձնակազմի և այլ մասնագետների համար։</w:t>
            </w:r>
          </w:p>
          <w:p w14:paraId="4099CE06" w14:textId="77777777" w:rsidR="008B4958" w:rsidRDefault="008B4958" w:rsidP="008B4958">
            <w:pPr>
              <w:widowControl w:val="0"/>
              <w:numPr>
                <w:ilvl w:val="0"/>
                <w:numId w:val="1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Համայնքի սոցիալ-տնտեսական կայունության ամրապնդում</w:t>
            </w:r>
          </w:p>
          <w:p w14:paraId="6781A407" w14:textId="77777777" w:rsidR="008B4958" w:rsidRDefault="008B4958" w:rsidP="008B4958">
            <w:pPr>
              <w:widowControl w:val="0"/>
              <w:numPr>
                <w:ilvl w:val="1"/>
                <w:numId w:val="1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Մանկապարտեզի առկայությունը կբարելավի համայնքային ծառայությունների հասանելիությունը և բնակչության համար բարեկեցիկ միջավայր կստեղծի։</w:t>
            </w:r>
          </w:p>
          <w:p w14:paraId="737E974D" w14:textId="77777777" w:rsidR="008B4958" w:rsidRDefault="008B4958" w:rsidP="008B4958">
            <w:pPr>
              <w:widowControl w:val="0"/>
              <w:numPr>
                <w:ilvl w:val="0"/>
                <w:numId w:val="2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Բնակչության համաչափ բաշխման խթանում</w:t>
            </w:r>
          </w:p>
          <w:p w14:paraId="5A7F615A" w14:textId="77777777" w:rsidR="008B4958" w:rsidRDefault="008B4958" w:rsidP="008B4958">
            <w:pPr>
              <w:widowControl w:val="0"/>
              <w:numPr>
                <w:ilvl w:val="1"/>
                <w:numId w:val="2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spacing w:after="24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Երիտասարդ ընտանիքներն ավելի պատրաստակամ կլինեն մնալ կամ վերադառնալ համայնք՝ տեսնելով ենթակառուցվածքների զարգացում։</w:t>
            </w:r>
          </w:p>
        </w:tc>
      </w:tr>
      <w:tr w:rsidR="008B4958" w14:paraId="745B6D61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7191DC8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արդյունքներին հասնելու գործողությունները և միջոցառումները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986323" w14:textId="77777777" w:rsidR="008B4958" w:rsidRDefault="008B4958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Այս աշխատանքները կյանքի կոչելու համար նախատեսվում է իրականացնել հետևյալ քայլերը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66201B9E" w14:textId="77777777" w:rsidR="008B4958" w:rsidRDefault="008B4958" w:rsidP="008B4958">
            <w:pPr>
              <w:numPr>
                <w:ilvl w:val="0"/>
                <w:numId w:val="22"/>
              </w:numP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Համայնքի 2026 թվականի ՏԱՊ-ում ծրագրի ներառում, համայնքի բյուջեում՝ ֆինանսական </w:t>
            </w: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միջոցների նախատեսում / 232840.66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/,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</w:t>
            </w:r>
          </w:p>
          <w:p w14:paraId="78D0576F" w14:textId="77777777" w:rsidR="008B4958" w:rsidRDefault="008B4958" w:rsidP="008B4958">
            <w:pPr>
              <w:numPr>
                <w:ilvl w:val="0"/>
                <w:numId w:val="22"/>
              </w:numP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ՀՀ պետական բյուջեից նպատակային հատկացումների` սուբվենցիաների ստացում / 349261.00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// մինչև ծրագրի ավարտ/, </w:t>
            </w:r>
          </w:p>
          <w:p w14:paraId="6BB731C3" w14:textId="77777777" w:rsidR="008B4958" w:rsidRDefault="008B4958" w:rsidP="008B4958">
            <w:pPr>
              <w:numPr>
                <w:ilvl w:val="0"/>
                <w:numId w:val="22"/>
              </w:numP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Գնումների մասին ՀՀ Օրենքին,  գնումների հետ կապված ՀՀ Կառավարության որոշումներին և օրենսդրական այլ ակտերին համապատասխան գնման աշխատանքների պատվիրում՝ </w:t>
            </w:r>
          </w:p>
          <w:p w14:paraId="6DFCEA2B" w14:textId="77777777" w:rsidR="008B4958" w:rsidRDefault="008B4958" w:rsidP="008B4958">
            <w:pPr>
              <w:numPr>
                <w:ilvl w:val="1"/>
                <w:numId w:val="22"/>
              </w:numPr>
              <w:ind w:right="83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Տեղակապման նախագծանախահաշվարկային փաստաթղթերի / 5330.00 հազ. ՀՀ դրամ,</w:t>
            </w:r>
          </w:p>
          <w:p w14:paraId="1AB055DB" w14:textId="77777777" w:rsidR="008B4958" w:rsidRDefault="008B4958" w:rsidP="008B4958">
            <w:pPr>
              <w:numPr>
                <w:ilvl w:val="1"/>
                <w:numId w:val="22"/>
              </w:numP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Տեղակապման նախագծանախահաշվային փաստաթղթերի 500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0 պետական փորձաքննություն, </w:t>
            </w:r>
          </w:p>
          <w:p w14:paraId="79DA6B20" w14:textId="77777777" w:rsidR="008B4958" w:rsidRDefault="008B4958" w:rsidP="008B4958">
            <w:pPr>
              <w:numPr>
                <w:ilvl w:val="0"/>
                <w:numId w:val="22"/>
              </w:numP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Մրցույթում հաղթող կապալառու կազմակերպության հետ պայմանագրի կնքում,</w:t>
            </w:r>
          </w:p>
          <w:p w14:paraId="4B4CB026" w14:textId="77777777" w:rsidR="008B4958" w:rsidRDefault="008B4958" w:rsidP="008B495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  <w:t>տ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եխնիկական հսկողություն /5625.730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// ծրագրի աշխատանքների մեկնարկից մինչև ծրագրի ավարտ/,</w:t>
            </w:r>
          </w:p>
          <w:p w14:paraId="580E6FA7" w14:textId="77777777" w:rsidR="008B4958" w:rsidRDefault="008B4958" w:rsidP="008B495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հեղինակային հսկողություն /2607.3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// ծրագրի աշխատանքների մեկնարկից մինչև ծրագրի ավարտ/,</w:t>
            </w:r>
          </w:p>
          <w:p w14:paraId="3CDE4F4E" w14:textId="77777777" w:rsidR="008B4958" w:rsidRDefault="008B4958" w:rsidP="008B495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Շինարարության աշխատանքների կազմակերպում / 567988.7 հազ. ՀՀ դրամ // մինչև կապալառուի հետ կնքվող կապալային պայմանագրով նախատեսված ժամկետի ավարտ/,</w:t>
            </w:r>
          </w:p>
          <w:p w14:paraId="379543EB" w14:textId="77777777" w:rsidR="008B4958" w:rsidRDefault="008B4958" w:rsidP="008B4958">
            <w:pPr>
              <w:widowControl w:val="0"/>
              <w:numPr>
                <w:ilvl w:val="0"/>
                <w:numId w:val="22"/>
              </w:numPr>
              <w:tabs>
                <w:tab w:val="left" w:pos="751"/>
                <w:tab w:val="left" w:pos="4275"/>
              </w:tabs>
              <w:spacing w:line="276" w:lineRule="auto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աշխատանքների ավարտից հետո շինարարական կազմակերպության,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համայնքապետարանի, տեխնիկական, հեղինակային վերահսկողների և նախագիծը կազմողների միջև կիրականացվեն հանձման-ընդունման աշխատանքներ:</w:t>
            </w:r>
          </w:p>
        </w:tc>
      </w:tr>
      <w:tr w:rsidR="008B4958" w14:paraId="4F457301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280085D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իրականացման արդյունքում համայնքին սեփականության իրավունքով պատկանող հիմնական միջոցների արժեքի ավելացում բացառությամբ բազմաբնակարան շենքերի ընդհանուր բաժնային սեփականության գույքի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DC7CE" w14:textId="77777777" w:rsidR="008B4958" w:rsidRDefault="008B4958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իրականացման արդյունքում համայնքում կունենանք նոր կառուցված շենքային պայմաններ, ներառյալ արևային պանելի տեղադրում, մանկապարտեզի տարածքի ամբողջական բարեկարգում և գույքով համալրում։ Շենքի, տարածքի կադաստրային արժեքը, գույքի արժեքի հետ միասին  կկազմի  582101.7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դրամ։</w:t>
            </w:r>
          </w:p>
          <w:p w14:paraId="5576F297" w14:textId="77777777" w:rsidR="008B4958" w:rsidRDefault="008B4958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Ծրագրով նախատեսված ծախսերը կապիտալ բնույթի են և  կիրականացվեն Տաշիր համայնքի 2026թ. բյուջեի ֆոնդային մասով::</w:t>
            </w:r>
          </w:p>
        </w:tc>
      </w:tr>
      <w:tr w:rsidR="008B4958" w14:paraId="65D919CE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659D9A3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ազդեցությունը համայնքի և շահառուների վրա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F07C0" w14:textId="77777777" w:rsidR="008B4958" w:rsidRDefault="008B4958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</w:rPr>
              <w:t>Ծրագրի անմիջական ազդեցությունը կրողները և շահառուները հանդիսանում Տաշիր համայնքի Տաշիր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բնակավայրի 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բնակիչները, ներառյալ մանկապարտեզ </w:t>
            </w: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հաճախող երեխաները, նրանց ծնողները և ընտանիքները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</w:rPr>
              <w:t xml:space="preserve">: Ծրագրի ուղղակի շահառուների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թիվը 550-ից ավել է։</w:t>
            </w:r>
          </w:p>
        </w:tc>
      </w:tr>
      <w:tr w:rsidR="008B4958" w14:paraId="485FDB21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4BFD17F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Նշել ծրագրի իրականացման ընթացքում ստեղծվող ժամանակավոր և հիմնական աշխատատեղերի քանակը և դրանց նկարագրությունը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4D0EC" w14:textId="77777777" w:rsidR="008B4958" w:rsidRDefault="008B4958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</w:rPr>
              <w:t>Ծրագրի իրականացման ընթացքում և արդյունքում նախատեսվում է ստեղ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ծել 35-40 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</w:rPr>
              <w:t>ժամանակավոր աշխատատեղ՝ վերանորոգման աշխատանքներ իրականացնողներ:</w:t>
            </w:r>
          </w:p>
        </w:tc>
      </w:tr>
      <w:tr w:rsidR="008B4958" w14:paraId="7DC3E2AC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0666253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նախորդ տարվա բյուջեն և բյուջեի կատարողականը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D6BBC2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Նախորդ տարվա բյուջեն  3995931.4 դրամ.</w:t>
            </w:r>
          </w:p>
          <w:p w14:paraId="52EDBE64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նախորդ տարվա` 2025թ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բյուջեն, ծախսերը և կատարողականը` առանձնացնելով բյուջեի վարչական և ֆոնդային մասերը, իսկ բյուջեի ֆոնդային մասից ծախսերը ներկայացնել առանձին բացվածքով:</w:t>
            </w:r>
          </w:p>
          <w:p w14:paraId="05ADF605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</w:p>
        </w:tc>
      </w:tr>
      <w:tr w:rsidR="008B4958" w14:paraId="345EDB76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EDBDDEA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DD368C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</w:p>
          <w:tbl>
            <w:tblPr>
              <w:tblW w:w="765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5"/>
              <w:gridCol w:w="1320"/>
              <w:gridCol w:w="1590"/>
              <w:gridCol w:w="1425"/>
            </w:tblGrid>
            <w:tr w:rsidR="008B4958" w14:paraId="5817B988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8258D9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2025 թ.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975B51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Պլանը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970E24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Փաստացին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063B25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Տոկոսը</w:t>
                  </w:r>
                </w:p>
              </w:tc>
            </w:tr>
            <w:tr w:rsidR="008B4958" w14:paraId="05A50E11" w14:textId="77777777" w:rsidTr="001D1D55">
              <w:trPr>
                <w:trHeight w:val="888"/>
              </w:trPr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356E00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եկամուտները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br/>
                    <w:t>այդ թվում՝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C9B671" w14:textId="77777777" w:rsidR="008B4958" w:rsidRDefault="008B4958" w:rsidP="001D1D55">
                  <w:pPr>
                    <w:widowControl w:val="0"/>
                    <w:spacing w:line="273" w:lineRule="auto"/>
                    <w:ind w:left="20"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3995931,4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68C89E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2380628,9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E53EBF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59,6</w:t>
                  </w:r>
                </w:p>
              </w:tc>
            </w:tr>
            <w:tr w:rsidR="008B4958" w14:paraId="751454FD" w14:textId="77777777" w:rsidTr="001D1D55">
              <w:trPr>
                <w:trHeight w:val="635"/>
              </w:trPr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194C23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 եկամուտներ, որից՝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8AA9C3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9F8FE1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5F9643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8B4958" w14:paraId="62E34276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0D6725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Սեփական եկամուտներ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3ACC63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361061,2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BFB28D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423235,4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31BB17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117,2</w:t>
                  </w:r>
                </w:p>
              </w:tc>
            </w:tr>
            <w:tr w:rsidR="008B4958" w14:paraId="25EDD438" w14:textId="77777777" w:rsidTr="001D1D55">
              <w:trPr>
                <w:trHeight w:val="620"/>
              </w:trPr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79924B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եկամուտներ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EE1087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2198756,4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FCD73F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440575,9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DA5B4F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20,0</w:t>
                  </w:r>
                </w:p>
              </w:tc>
            </w:tr>
            <w:tr w:rsidR="008B4958" w14:paraId="61CC994F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F33F30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br/>
                    <w:t>որից՝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CBDBEC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C0AB27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72B669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8B4958" w14:paraId="60D7D6CB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224A43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ծախսեր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87A8A9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1797175,0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5E1757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1049703,9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B22F92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58,4</w:t>
                  </w:r>
                </w:p>
              </w:tc>
            </w:tr>
            <w:tr w:rsidR="008B4958" w14:paraId="37D0C40B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581305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ծախսեր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DE8885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3074506,7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285120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1439119,1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BD0760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46,8</w:t>
                  </w:r>
                </w:p>
              </w:tc>
            </w:tr>
            <w:tr w:rsidR="008B4958" w14:paraId="361E6F02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FDAF7D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Համայնքի ֆոնդային բյուջեի փաստացի ծախսերը,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որից՝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4231EA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81C03E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B8C304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8B4958" w14:paraId="53ABE098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95718C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ճանապարհաշինություն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31EF30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1401818,0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B1CA6C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769256,2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AF5DBD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54.9</w:t>
                  </w:r>
                </w:p>
              </w:tc>
            </w:tr>
            <w:tr w:rsidR="008B4958" w14:paraId="1168317B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D40542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ջրամատակարարում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DA66E0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256180,0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A99E88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227349,6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338452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88,7</w:t>
                  </w:r>
                </w:p>
              </w:tc>
            </w:tr>
            <w:tr w:rsidR="008B4958" w14:paraId="6E523BC6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3F008A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փողոցային լուսավորություն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04AB90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164877,0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368FB2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339E72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</w:tr>
            <w:tr w:rsidR="008B4958" w14:paraId="395E4071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CC1C42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Բնակարանային շինարարություն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64EE2A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190201,0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118119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143833,6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926CA2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75,6</w:t>
                  </w:r>
                </w:p>
              </w:tc>
            </w:tr>
            <w:tr w:rsidR="008B4958" w14:paraId="187F3924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DB14BA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Կեղտաջրերի հեռացում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B71011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6000,0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F0369E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6C0817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</w:tr>
            <w:tr w:rsidR="008B4958" w14:paraId="4BCD3F1E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BFEB4C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գյուղատնտեսություն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B2BEEA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94300,8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52FDF5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51164,3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E58FDF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54,3</w:t>
                  </w:r>
                </w:p>
              </w:tc>
            </w:tr>
            <w:tr w:rsidR="008B4958" w14:paraId="7E481BBF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FB4B53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Ընդհ. բնույթի հանր. ծառայություններ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85786F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577830,4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6A0687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208606,4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893877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36,1</w:t>
                  </w:r>
                </w:p>
              </w:tc>
            </w:tr>
            <w:tr w:rsidR="008B4958" w14:paraId="0C5A9DEA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5D6B98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-մշակույթ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F56DC7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387359,0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8130AD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32843,1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353E54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8,5</w:t>
                  </w:r>
                </w:p>
                <w:p w14:paraId="23A5026C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8B4958" w14:paraId="186CE001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68C1B9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-կրթություն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DC9406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7441,0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277E66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5567,0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28EF31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74,8</w:t>
                  </w:r>
                </w:p>
              </w:tc>
            </w:tr>
            <w:tr w:rsidR="008B4958" w14:paraId="09D3E396" w14:textId="77777777" w:rsidTr="001D1D55">
              <w:tc>
                <w:tcPr>
                  <w:tcW w:w="3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DA387E" w14:textId="77777777" w:rsidR="008B4958" w:rsidRDefault="008B4958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Շրջակա միջ. պաշտպանություն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B6011C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8500,0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553FA7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7665,0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77B127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90,2</w:t>
                  </w:r>
                </w:p>
              </w:tc>
            </w:tr>
          </w:tbl>
          <w:p w14:paraId="20CEB0BC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8B4958" w14:paraId="7E6135ED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6161C6D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Համայնքի</w:t>
            </w:r>
            <w:r>
              <w:rPr>
                <w:rFonts w:ascii="Courier New" w:eastAsia="Courier New" w:hAnsi="Courier New" w:cs="Courier New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ընթացիկ տարվա</w:t>
            </w:r>
            <w:r>
              <w:rPr>
                <w:rFonts w:ascii="Courier New" w:eastAsia="Courier New" w:hAnsi="Courier New" w:cs="Courier New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բյուջեն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4D6448" w14:textId="77777777" w:rsidR="008B4958" w:rsidRDefault="008B4958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 4131135,0 դրամ. </w:t>
            </w:r>
          </w:p>
          <w:p w14:paraId="790CDA19" w14:textId="77777777" w:rsidR="008B4958" w:rsidRDefault="008B4958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ընթացիկ տարվա կանխատեսվող եկամուտները, պլանավորված ծախսերը` առանձնացնելով բյուջեի վարչական և ֆոնդային մասերը, իսկ բյուջեի ֆոնդային մասից պլանավորված ծախսերը ներկայացնել առանձին բացվածքով:</w:t>
            </w:r>
          </w:p>
          <w:tbl>
            <w:tblPr>
              <w:tblW w:w="71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76"/>
              <w:gridCol w:w="1462"/>
            </w:tblGrid>
            <w:tr w:rsidR="008B4958" w14:paraId="0C6C2AA0" w14:textId="77777777" w:rsidTr="001D1D55">
              <w:tc>
                <w:tcPr>
                  <w:tcW w:w="5676" w:type="dxa"/>
                </w:tcPr>
                <w:p w14:paraId="7D17D6E8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2026թ.</w:t>
                  </w:r>
                </w:p>
              </w:tc>
              <w:tc>
                <w:tcPr>
                  <w:tcW w:w="1462" w:type="dxa"/>
                </w:tcPr>
                <w:p w14:paraId="169C7CCB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Պլանը</w:t>
                  </w:r>
                </w:p>
              </w:tc>
            </w:tr>
            <w:tr w:rsidR="008B4958" w14:paraId="47A71A17" w14:textId="77777777" w:rsidTr="001D1D55">
              <w:tc>
                <w:tcPr>
                  <w:tcW w:w="5676" w:type="dxa"/>
                </w:tcPr>
                <w:p w14:paraId="2CABFC6A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եկամուտների պլանավորում,այդ թվում՝</w:t>
                  </w:r>
                </w:p>
              </w:tc>
              <w:tc>
                <w:tcPr>
                  <w:tcW w:w="1462" w:type="dxa"/>
                </w:tcPr>
                <w:p w14:paraId="5CFF4280" w14:textId="77777777" w:rsidR="008B4958" w:rsidRDefault="008B4958" w:rsidP="001D1D55">
                  <w:pPr>
                    <w:ind w:right="168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4131135,0</w:t>
                  </w:r>
                </w:p>
              </w:tc>
            </w:tr>
            <w:tr w:rsidR="008B4958" w14:paraId="4D788FBA" w14:textId="77777777" w:rsidTr="001D1D55">
              <w:tc>
                <w:tcPr>
                  <w:tcW w:w="5676" w:type="dxa"/>
                </w:tcPr>
                <w:p w14:paraId="70A0CC47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եկամուտներ, որից՝</w:t>
                  </w:r>
                </w:p>
              </w:tc>
              <w:tc>
                <w:tcPr>
                  <w:tcW w:w="1462" w:type="dxa"/>
                </w:tcPr>
                <w:p w14:paraId="63C9BD85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</w:tr>
            <w:tr w:rsidR="008B4958" w14:paraId="5786841C" w14:textId="77777777" w:rsidTr="001D1D55">
              <w:tc>
                <w:tcPr>
                  <w:tcW w:w="5676" w:type="dxa"/>
                </w:tcPr>
                <w:p w14:paraId="252EA871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սեփական եկամուտներ</w:t>
                  </w:r>
                </w:p>
              </w:tc>
              <w:tc>
                <w:tcPr>
                  <w:tcW w:w="1462" w:type="dxa"/>
                </w:tcPr>
                <w:p w14:paraId="0A00B0AD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389154,0</w:t>
                  </w:r>
                </w:p>
              </w:tc>
            </w:tr>
            <w:tr w:rsidR="008B4958" w14:paraId="6B60D42B" w14:textId="77777777" w:rsidTr="001D1D55">
              <w:tc>
                <w:tcPr>
                  <w:tcW w:w="5676" w:type="dxa"/>
                </w:tcPr>
                <w:p w14:paraId="5E8706E7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Ֆոնդային բյուջեի եկամուտներ</w:t>
                  </w:r>
                </w:p>
              </w:tc>
              <w:tc>
                <w:tcPr>
                  <w:tcW w:w="1462" w:type="dxa"/>
                </w:tcPr>
                <w:p w14:paraId="7D20B8DC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2120710,0</w:t>
                  </w:r>
                </w:p>
              </w:tc>
            </w:tr>
            <w:tr w:rsidR="008B4958" w14:paraId="3C6C8103" w14:textId="77777777" w:rsidTr="001D1D55">
              <w:tc>
                <w:tcPr>
                  <w:tcW w:w="5676" w:type="dxa"/>
                </w:tcPr>
                <w:p w14:paraId="7CB86663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ծախսեր,որից՝</w:t>
                  </w:r>
                </w:p>
              </w:tc>
              <w:tc>
                <w:tcPr>
                  <w:tcW w:w="1462" w:type="dxa"/>
                </w:tcPr>
                <w:p w14:paraId="493CCC0A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5225303,5</w:t>
                  </w:r>
                </w:p>
              </w:tc>
            </w:tr>
            <w:tr w:rsidR="008B4958" w14:paraId="3AB54E31" w14:textId="77777777" w:rsidTr="001D1D55">
              <w:tc>
                <w:tcPr>
                  <w:tcW w:w="5676" w:type="dxa"/>
                </w:tcPr>
                <w:p w14:paraId="299E20B7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ծախսեր</w:t>
                  </w:r>
                </w:p>
              </w:tc>
              <w:tc>
                <w:tcPr>
                  <w:tcW w:w="1462" w:type="dxa"/>
                </w:tcPr>
                <w:p w14:paraId="3259D10B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</w:tr>
            <w:tr w:rsidR="008B4958" w14:paraId="303568DA" w14:textId="77777777" w:rsidTr="001D1D55">
              <w:tc>
                <w:tcPr>
                  <w:tcW w:w="5676" w:type="dxa"/>
                </w:tcPr>
                <w:p w14:paraId="5885744F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ծախսեր</w:t>
                  </w:r>
                </w:p>
              </w:tc>
              <w:tc>
                <w:tcPr>
                  <w:tcW w:w="1462" w:type="dxa"/>
                </w:tcPr>
                <w:p w14:paraId="12CBD19E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3214878,5</w:t>
                  </w:r>
                </w:p>
              </w:tc>
            </w:tr>
            <w:tr w:rsidR="008B4958" w14:paraId="3EFF89F9" w14:textId="77777777" w:rsidTr="001D1D55">
              <w:tc>
                <w:tcPr>
                  <w:tcW w:w="5676" w:type="dxa"/>
                </w:tcPr>
                <w:p w14:paraId="0C042D7E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Համայնքի ֆոնդային բյուջեի պլանավորված ծախսերը, որից՝</w:t>
                  </w:r>
                </w:p>
              </w:tc>
              <w:tc>
                <w:tcPr>
                  <w:tcW w:w="1462" w:type="dxa"/>
                </w:tcPr>
                <w:p w14:paraId="1751FA64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8B4958" w14:paraId="3ADBDAE0" w14:textId="77777777" w:rsidTr="001D1D55">
              <w:tc>
                <w:tcPr>
                  <w:tcW w:w="5676" w:type="dxa"/>
                </w:tcPr>
                <w:p w14:paraId="6C5CDF69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--ընդհանուր բնույթի հանրային ծառայություններ</w:t>
                  </w:r>
                </w:p>
              </w:tc>
              <w:tc>
                <w:tcPr>
                  <w:tcW w:w="1462" w:type="dxa"/>
                </w:tcPr>
                <w:p w14:paraId="41F3A3B3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41000,0</w:t>
                  </w:r>
                </w:p>
              </w:tc>
            </w:tr>
            <w:tr w:rsidR="008B4958" w14:paraId="72B2869A" w14:textId="77777777" w:rsidTr="001D1D55">
              <w:tc>
                <w:tcPr>
                  <w:tcW w:w="5676" w:type="dxa"/>
                </w:tcPr>
                <w:p w14:paraId="1F689CD7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-նավթամթերք և բնական գազ</w:t>
                  </w:r>
                </w:p>
              </w:tc>
              <w:tc>
                <w:tcPr>
                  <w:tcW w:w="1462" w:type="dxa"/>
                </w:tcPr>
                <w:p w14:paraId="0B55B94D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8B4958" w14:paraId="2D0F7643" w14:textId="77777777" w:rsidTr="001D1D55">
              <w:tc>
                <w:tcPr>
                  <w:tcW w:w="5676" w:type="dxa"/>
                </w:tcPr>
                <w:p w14:paraId="45E2B4A9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-գյուղատնտեսություն</w:t>
                  </w:r>
                </w:p>
              </w:tc>
              <w:tc>
                <w:tcPr>
                  <w:tcW w:w="1462" w:type="dxa"/>
                </w:tcPr>
                <w:p w14:paraId="253994D5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21000,0</w:t>
                  </w:r>
                </w:p>
              </w:tc>
            </w:tr>
            <w:tr w:rsidR="008B4958" w14:paraId="516B6665" w14:textId="77777777" w:rsidTr="001D1D55">
              <w:tc>
                <w:tcPr>
                  <w:tcW w:w="5676" w:type="dxa"/>
                </w:tcPr>
                <w:p w14:paraId="4538BBBC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-ճանապարհային տրանսպորտ</w:t>
                  </w:r>
                </w:p>
              </w:tc>
              <w:tc>
                <w:tcPr>
                  <w:tcW w:w="1462" w:type="dxa"/>
                </w:tcPr>
                <w:p w14:paraId="2C86FB82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1184360,0</w:t>
                  </w:r>
                </w:p>
              </w:tc>
            </w:tr>
            <w:tr w:rsidR="008B4958" w14:paraId="786B07A2" w14:textId="77777777" w:rsidTr="001D1D55">
              <w:tc>
                <w:tcPr>
                  <w:tcW w:w="5676" w:type="dxa"/>
                </w:tcPr>
                <w:p w14:paraId="20440510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Կեղտաջրերի հեռացում</w:t>
                  </w:r>
                </w:p>
              </w:tc>
              <w:tc>
                <w:tcPr>
                  <w:tcW w:w="1462" w:type="dxa"/>
                </w:tcPr>
                <w:p w14:paraId="6C82FE84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8B4958" w14:paraId="3F5F609D" w14:textId="77777777" w:rsidTr="001D1D55">
              <w:tc>
                <w:tcPr>
                  <w:tcW w:w="5676" w:type="dxa"/>
                </w:tcPr>
                <w:p w14:paraId="3D10D174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Շրջակա միջավայրի պահպանություն</w:t>
                  </w:r>
                </w:p>
              </w:tc>
              <w:tc>
                <w:tcPr>
                  <w:tcW w:w="1462" w:type="dxa"/>
                </w:tcPr>
                <w:p w14:paraId="494035DE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9000,0</w:t>
                  </w:r>
                </w:p>
              </w:tc>
            </w:tr>
            <w:tr w:rsidR="008B4958" w14:paraId="57237415" w14:textId="77777777" w:rsidTr="001D1D55">
              <w:tc>
                <w:tcPr>
                  <w:tcW w:w="5676" w:type="dxa"/>
                </w:tcPr>
                <w:p w14:paraId="490A2E24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Բնակարանային շինարարություն</w:t>
                  </w:r>
                </w:p>
              </w:tc>
              <w:tc>
                <w:tcPr>
                  <w:tcW w:w="1462" w:type="dxa"/>
                </w:tcPr>
                <w:p w14:paraId="26990361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8B4958" w14:paraId="47E12DC5" w14:textId="77777777" w:rsidTr="001D1D55">
              <w:tc>
                <w:tcPr>
                  <w:tcW w:w="5676" w:type="dxa"/>
                </w:tcPr>
                <w:p w14:paraId="06292D4A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ջրամատակարարում</w:t>
                  </w:r>
                </w:p>
              </w:tc>
              <w:tc>
                <w:tcPr>
                  <w:tcW w:w="1462" w:type="dxa"/>
                </w:tcPr>
                <w:p w14:paraId="74BB1352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131226,0</w:t>
                  </w:r>
                </w:p>
              </w:tc>
            </w:tr>
            <w:tr w:rsidR="008B4958" w14:paraId="676227D7" w14:textId="77777777" w:rsidTr="001D1D55">
              <w:tc>
                <w:tcPr>
                  <w:tcW w:w="5676" w:type="dxa"/>
                </w:tcPr>
                <w:p w14:paraId="24A5B782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Փողոցների լուսավորություն</w:t>
                  </w:r>
                </w:p>
              </w:tc>
              <w:tc>
                <w:tcPr>
                  <w:tcW w:w="1462" w:type="dxa"/>
                </w:tcPr>
                <w:p w14:paraId="047DC102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103724,0</w:t>
                  </w:r>
                </w:p>
              </w:tc>
            </w:tr>
            <w:tr w:rsidR="008B4958" w14:paraId="5818EA68" w14:textId="77777777" w:rsidTr="001D1D55">
              <w:tc>
                <w:tcPr>
                  <w:tcW w:w="5676" w:type="dxa"/>
                </w:tcPr>
                <w:p w14:paraId="3B9F5333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-մշակույթ</w:t>
                  </w:r>
                </w:p>
              </w:tc>
              <w:tc>
                <w:tcPr>
                  <w:tcW w:w="1462" w:type="dxa"/>
                </w:tcPr>
                <w:p w14:paraId="6A479B2D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8B4958" w14:paraId="5DA8B841" w14:textId="77777777" w:rsidTr="001D1D55">
              <w:tc>
                <w:tcPr>
                  <w:tcW w:w="5676" w:type="dxa"/>
                </w:tcPr>
                <w:p w14:paraId="4EE5888C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-կրթություն</w:t>
                  </w:r>
                </w:p>
              </w:tc>
              <w:tc>
                <w:tcPr>
                  <w:tcW w:w="1462" w:type="dxa"/>
                </w:tcPr>
                <w:p w14:paraId="56B44ADC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1744568,6</w:t>
                  </w:r>
                </w:p>
              </w:tc>
            </w:tr>
            <w:tr w:rsidR="008B4958" w14:paraId="0A84E294" w14:textId="77777777" w:rsidTr="001D1D55">
              <w:tc>
                <w:tcPr>
                  <w:tcW w:w="5676" w:type="dxa"/>
                </w:tcPr>
                <w:p w14:paraId="2CB189C1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-հողի օտարումից մուտքեր</w:t>
                  </w:r>
                </w:p>
              </w:tc>
              <w:tc>
                <w:tcPr>
                  <w:tcW w:w="1462" w:type="dxa"/>
                </w:tcPr>
                <w:p w14:paraId="31FE796C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15000,0</w:t>
                  </w:r>
                </w:p>
              </w:tc>
            </w:tr>
            <w:tr w:rsidR="008B4958" w14:paraId="04870F8F" w14:textId="77777777" w:rsidTr="001D1D55">
              <w:tc>
                <w:tcPr>
                  <w:tcW w:w="5676" w:type="dxa"/>
                </w:tcPr>
                <w:p w14:paraId="26F5000A" w14:textId="77777777" w:rsidR="008B4958" w:rsidRDefault="008B4958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Այլ հիմնական միջոցների օտար</w:t>
                  </w:r>
                </w:p>
              </w:tc>
              <w:tc>
                <w:tcPr>
                  <w:tcW w:w="1462" w:type="dxa"/>
                </w:tcPr>
                <w:p w14:paraId="200F42EC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</w:tr>
          </w:tbl>
          <w:p w14:paraId="4C6CA0CA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</w:p>
        </w:tc>
      </w:tr>
      <w:tr w:rsidR="008B4958" w14:paraId="7681E662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25ECF6A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Համայնքի միջնաժամկետ ծախսերի ծրագիրը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47FB56" w14:textId="77777777" w:rsidR="008B4958" w:rsidRDefault="008B4958" w:rsidP="001D1D55">
            <w:pPr>
              <w:widowControl w:val="0"/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Հաստատված միջնաժամկետ ծախսերի ծրագրով սուբվենցիոն ծրագրի իրականացման տարվա բյուջեն ` 5225303,5 դրամ։</w:t>
            </w:r>
          </w:p>
        </w:tc>
      </w:tr>
      <w:tr w:rsidR="008B4958" w14:paraId="3DD4306B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0703D20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E5FAD3" w14:textId="77777777" w:rsidR="008B4958" w:rsidRDefault="008B4958" w:rsidP="001D1D55">
            <w:pPr>
              <w:widowControl w:val="0"/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Հաստատված միջնաժամկետ ծախսերի ծրագրով                                   սուբվենցիոն ծրագրի իրականացման տարվան հաջորդող տարվա բյուջեն` 33272453,0 դրամ:</w:t>
            </w:r>
          </w:p>
        </w:tc>
      </w:tr>
      <w:tr w:rsidR="008B4958" w14:paraId="37A21980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0524274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CC1DDA" w14:textId="77777777" w:rsidR="008B4958" w:rsidRDefault="008B4958" w:rsidP="001D1D55">
            <w:pPr>
              <w:widowControl w:val="0"/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ծրագրի իրականացման և իրականացման տարվան հաջորդող տարվա միջնաժամկետ ծախսերի ծրագրով նախատեված եկամուտները և ծախսերը` առանձնացնելով բյուջեի վարչական և ֆոնդային մասերը, իսկ բյուջեի ֆոնդային մասից նախատեսված ծախսերը ներկայացնել առանձին բացվածքով.</w:t>
            </w:r>
          </w:p>
        </w:tc>
      </w:tr>
      <w:tr w:rsidR="008B4958" w14:paraId="429839FC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0B90D27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Համայնքի ծրագրի իրականացման տարվա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միջնաժամակետ ծախսերի ծրագրով նախատեսված բյուջետային մուտքերի (ներառյալ՝ ֆինանսական համա-հարթեցման դոտացիայի գծով նախատեսված մուտքերը) հաշվին նշված ծրագրի իրականացման անհնարինության հիմնավորումը (համապատասխան հաշվարկներով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3A8036" w14:textId="77777777" w:rsidR="008B4958" w:rsidRDefault="008B4958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  <w:tbl>
            <w:tblPr>
              <w:tblW w:w="73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88"/>
              <w:gridCol w:w="1967"/>
              <w:gridCol w:w="1985"/>
            </w:tblGrid>
            <w:tr w:rsidR="008B4958" w14:paraId="3E6E7487" w14:textId="77777777" w:rsidTr="001D1D55">
              <w:tc>
                <w:tcPr>
                  <w:tcW w:w="3388" w:type="dxa"/>
                </w:tcPr>
                <w:p w14:paraId="7D5578CC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2026թ</w:t>
                  </w:r>
                </w:p>
              </w:tc>
              <w:tc>
                <w:tcPr>
                  <w:tcW w:w="1967" w:type="dxa"/>
                </w:tcPr>
                <w:p w14:paraId="53081A80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իրականացման տարի 2026թ.</w:t>
                  </w:r>
                </w:p>
              </w:tc>
              <w:tc>
                <w:tcPr>
                  <w:tcW w:w="1985" w:type="dxa"/>
                </w:tcPr>
                <w:p w14:paraId="78ED8C05" w14:textId="77777777" w:rsidR="008B4958" w:rsidRDefault="008B4958" w:rsidP="001D1D55">
                  <w:pPr>
                    <w:widowControl w:val="0"/>
                    <w:spacing w:before="12" w:line="273" w:lineRule="auto"/>
                    <w:ind w:left="18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իրականացման տարվան հաջորդող</w:t>
                  </w:r>
                </w:p>
                <w:p w14:paraId="4C218EC2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տարի 2027թ.</w:t>
                  </w:r>
                </w:p>
              </w:tc>
            </w:tr>
            <w:tr w:rsidR="008B4958" w14:paraId="57AA75BC" w14:textId="77777777" w:rsidTr="001D1D55">
              <w:tc>
                <w:tcPr>
                  <w:tcW w:w="3388" w:type="dxa"/>
                </w:tcPr>
                <w:p w14:paraId="2E7946E5" w14:textId="77777777" w:rsidR="008B4958" w:rsidRDefault="008B4958" w:rsidP="001D1D55">
                  <w:pPr>
                    <w:widowControl w:val="0"/>
                    <w:spacing w:before="3"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եկամուտներ՝ ըստ հաստատված միջնաժամկետ ծախսերի ծրագրի,</w:t>
                  </w:r>
                </w:p>
                <w:p w14:paraId="7DA18F96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այդ թվում՝</w:t>
                  </w:r>
                </w:p>
              </w:tc>
              <w:tc>
                <w:tcPr>
                  <w:tcW w:w="1967" w:type="dxa"/>
                </w:tcPr>
                <w:p w14:paraId="3A0E69E0" w14:textId="77777777" w:rsidR="008B4958" w:rsidRDefault="008B4958" w:rsidP="001D1D55">
                  <w:pPr>
                    <w:ind w:right="168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4131135,0</w:t>
                  </w:r>
                </w:p>
              </w:tc>
              <w:tc>
                <w:tcPr>
                  <w:tcW w:w="1985" w:type="dxa"/>
                </w:tcPr>
                <w:p w14:paraId="56007DEE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2572453,0</w:t>
                  </w:r>
                </w:p>
                <w:p w14:paraId="6BEBFF35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8B4958" w14:paraId="7AAD010C" w14:textId="77777777" w:rsidTr="001D1D55">
              <w:tc>
                <w:tcPr>
                  <w:tcW w:w="3388" w:type="dxa"/>
                </w:tcPr>
                <w:p w14:paraId="41739346" w14:textId="77777777" w:rsidR="008B4958" w:rsidRDefault="008B4958" w:rsidP="001D1D55">
                  <w:pPr>
                    <w:widowControl w:val="0"/>
                    <w:tabs>
                      <w:tab w:val="left" w:pos="865"/>
                      <w:tab w:val="left" w:pos="2767"/>
                    </w:tabs>
                    <w:spacing w:before="3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</w:t>
                  </w:r>
                </w:p>
                <w:p w14:paraId="09E5C671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եկամուտներ, որից՝</w:t>
                  </w:r>
                </w:p>
              </w:tc>
              <w:tc>
                <w:tcPr>
                  <w:tcW w:w="1967" w:type="dxa"/>
                </w:tcPr>
                <w:p w14:paraId="4EFA80A4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  <w:tc>
                <w:tcPr>
                  <w:tcW w:w="1985" w:type="dxa"/>
                </w:tcPr>
                <w:p w14:paraId="7B25F821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2203953,0</w:t>
                  </w:r>
                </w:p>
              </w:tc>
            </w:tr>
            <w:tr w:rsidR="008B4958" w14:paraId="263F6EC8" w14:textId="77777777" w:rsidTr="001D1D55">
              <w:tc>
                <w:tcPr>
                  <w:tcW w:w="3388" w:type="dxa"/>
                </w:tcPr>
                <w:p w14:paraId="5A0E1B53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-Սեփական եկամուտներ</w:t>
                  </w:r>
                </w:p>
              </w:tc>
              <w:tc>
                <w:tcPr>
                  <w:tcW w:w="1967" w:type="dxa"/>
                </w:tcPr>
                <w:p w14:paraId="6A3B23A1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389154,0</w:t>
                  </w:r>
                </w:p>
              </w:tc>
              <w:tc>
                <w:tcPr>
                  <w:tcW w:w="1985" w:type="dxa"/>
                </w:tcPr>
                <w:p w14:paraId="79D2C794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399953,0</w:t>
                  </w:r>
                </w:p>
              </w:tc>
            </w:tr>
            <w:tr w:rsidR="008B4958" w14:paraId="3CABBF30" w14:textId="77777777" w:rsidTr="001D1D55">
              <w:tc>
                <w:tcPr>
                  <w:tcW w:w="3388" w:type="dxa"/>
                </w:tcPr>
                <w:p w14:paraId="6A89A56D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եկամուտներ</w:t>
                  </w:r>
                </w:p>
              </w:tc>
              <w:tc>
                <w:tcPr>
                  <w:tcW w:w="1967" w:type="dxa"/>
                </w:tcPr>
                <w:p w14:paraId="3D9C3E55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2120710,0</w:t>
                  </w:r>
                </w:p>
              </w:tc>
              <w:tc>
                <w:tcPr>
                  <w:tcW w:w="1985" w:type="dxa"/>
                </w:tcPr>
                <w:p w14:paraId="2E1026C2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368500,0</w:t>
                  </w:r>
                </w:p>
              </w:tc>
            </w:tr>
            <w:tr w:rsidR="008B4958" w14:paraId="79F4B0CF" w14:textId="77777777" w:rsidTr="001D1D55">
              <w:tc>
                <w:tcPr>
                  <w:tcW w:w="3388" w:type="dxa"/>
                </w:tcPr>
                <w:p w14:paraId="23D25EB2" w14:textId="77777777" w:rsidR="008B4958" w:rsidRDefault="008B4958" w:rsidP="001D1D55">
                  <w:pPr>
                    <w:widowControl w:val="0"/>
                    <w:spacing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 ըստ հաստատված միջնաժամկետ ծախսերի ծրագրի, որից՝</w:t>
                  </w:r>
                </w:p>
              </w:tc>
              <w:tc>
                <w:tcPr>
                  <w:tcW w:w="1967" w:type="dxa"/>
                </w:tcPr>
                <w:p w14:paraId="5887865D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5225303,5</w:t>
                  </w:r>
                </w:p>
              </w:tc>
              <w:tc>
                <w:tcPr>
                  <w:tcW w:w="1985" w:type="dxa"/>
                </w:tcPr>
                <w:p w14:paraId="623A845C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3272453,0</w:t>
                  </w:r>
                </w:p>
              </w:tc>
            </w:tr>
            <w:tr w:rsidR="008B4958" w14:paraId="2E450C1E" w14:textId="77777777" w:rsidTr="001D1D55">
              <w:tc>
                <w:tcPr>
                  <w:tcW w:w="3388" w:type="dxa"/>
                </w:tcPr>
                <w:p w14:paraId="3B2FEAEA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 ծախսեր</w:t>
                  </w:r>
                </w:p>
              </w:tc>
              <w:tc>
                <w:tcPr>
                  <w:tcW w:w="1967" w:type="dxa"/>
                </w:tcPr>
                <w:p w14:paraId="3853D445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  <w:tc>
                <w:tcPr>
                  <w:tcW w:w="1985" w:type="dxa"/>
                </w:tcPr>
                <w:p w14:paraId="03033CED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2203953,0</w:t>
                  </w:r>
                </w:p>
              </w:tc>
            </w:tr>
            <w:tr w:rsidR="008B4958" w14:paraId="610D4335" w14:textId="77777777" w:rsidTr="001D1D55">
              <w:tc>
                <w:tcPr>
                  <w:tcW w:w="3388" w:type="dxa"/>
                </w:tcPr>
                <w:p w14:paraId="29EEA156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Ֆոնդային բյուջեի ծախսեր</w:t>
                  </w:r>
                </w:p>
              </w:tc>
              <w:tc>
                <w:tcPr>
                  <w:tcW w:w="1967" w:type="dxa"/>
                </w:tcPr>
                <w:p w14:paraId="42B020D5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3214878,5</w:t>
                  </w:r>
                </w:p>
              </w:tc>
              <w:tc>
                <w:tcPr>
                  <w:tcW w:w="1985" w:type="dxa"/>
                </w:tcPr>
                <w:p w14:paraId="79E854E1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1068500,0</w:t>
                  </w:r>
                </w:p>
              </w:tc>
            </w:tr>
            <w:tr w:rsidR="008B4958" w14:paraId="4C2EC90B" w14:textId="77777777" w:rsidTr="001D1D55">
              <w:tc>
                <w:tcPr>
                  <w:tcW w:w="3388" w:type="dxa"/>
                </w:tcPr>
                <w:p w14:paraId="54D831AD" w14:textId="77777777" w:rsidR="008B4958" w:rsidRDefault="008B4958" w:rsidP="001D1D55">
                  <w:pPr>
                    <w:widowControl w:val="0"/>
                    <w:spacing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Համայնքի ֆոնդային բյուջեի ծախսերը՝ ըստ հաստատված միջնաժամկետ ծախսերի</w:t>
                  </w:r>
                </w:p>
                <w:p w14:paraId="04F6A97F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ծրագրի, որից՝</w:t>
                  </w:r>
                </w:p>
              </w:tc>
              <w:tc>
                <w:tcPr>
                  <w:tcW w:w="1967" w:type="dxa"/>
                </w:tcPr>
                <w:p w14:paraId="05D112FB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  <w:tc>
                <w:tcPr>
                  <w:tcW w:w="1985" w:type="dxa"/>
                </w:tcPr>
                <w:p w14:paraId="40D1D03F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8B4958" w14:paraId="348F2B78" w14:textId="77777777" w:rsidTr="001D1D55">
              <w:tc>
                <w:tcPr>
                  <w:tcW w:w="3388" w:type="dxa"/>
                </w:tcPr>
                <w:p w14:paraId="39E381C4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-ընդհանուր բնույթի հանրային ծառայություններ</w:t>
                  </w:r>
                </w:p>
              </w:tc>
              <w:tc>
                <w:tcPr>
                  <w:tcW w:w="1967" w:type="dxa"/>
                </w:tcPr>
                <w:p w14:paraId="67F5FCB7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41000,0</w:t>
                  </w:r>
                </w:p>
              </w:tc>
              <w:tc>
                <w:tcPr>
                  <w:tcW w:w="1985" w:type="dxa"/>
                </w:tcPr>
                <w:p w14:paraId="62ECE161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531699,0</w:t>
                  </w:r>
                </w:p>
              </w:tc>
            </w:tr>
            <w:tr w:rsidR="008B4958" w14:paraId="7B184AFB" w14:textId="77777777" w:rsidTr="001D1D55">
              <w:tc>
                <w:tcPr>
                  <w:tcW w:w="3388" w:type="dxa"/>
                </w:tcPr>
                <w:p w14:paraId="73835D47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-գյուղատնտեսություն</w:t>
                  </w:r>
                </w:p>
              </w:tc>
              <w:tc>
                <w:tcPr>
                  <w:tcW w:w="1967" w:type="dxa"/>
                </w:tcPr>
                <w:p w14:paraId="119E5FF6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21000.0</w:t>
                  </w:r>
                </w:p>
              </w:tc>
              <w:tc>
                <w:tcPr>
                  <w:tcW w:w="1985" w:type="dxa"/>
                </w:tcPr>
                <w:p w14:paraId="03D41AE4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8B4958" w14:paraId="6E11C0F3" w14:textId="77777777" w:rsidTr="001D1D55">
              <w:tc>
                <w:tcPr>
                  <w:tcW w:w="3388" w:type="dxa"/>
                </w:tcPr>
                <w:p w14:paraId="6E017B30" w14:textId="77777777" w:rsidR="008B4958" w:rsidRDefault="008B4958" w:rsidP="001D1D55">
                  <w:pPr>
                    <w:widowControl w:val="0"/>
                    <w:tabs>
                      <w:tab w:val="left" w:pos="2344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Շրջակա միջավայրի</w:t>
                  </w:r>
                </w:p>
                <w:p w14:paraId="49DFD1F4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պահպանություն</w:t>
                  </w:r>
                </w:p>
              </w:tc>
              <w:tc>
                <w:tcPr>
                  <w:tcW w:w="1967" w:type="dxa"/>
                </w:tcPr>
                <w:p w14:paraId="2A865EAD" w14:textId="77777777" w:rsidR="008B4958" w:rsidRDefault="008B4958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9000,0</w:t>
                  </w:r>
                </w:p>
              </w:tc>
              <w:tc>
                <w:tcPr>
                  <w:tcW w:w="1985" w:type="dxa"/>
                </w:tcPr>
                <w:p w14:paraId="7FEACEF0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24500.0</w:t>
                  </w:r>
                </w:p>
              </w:tc>
            </w:tr>
            <w:tr w:rsidR="008B4958" w14:paraId="0A474C2F" w14:textId="77777777" w:rsidTr="001D1D55">
              <w:tc>
                <w:tcPr>
                  <w:tcW w:w="3388" w:type="dxa"/>
                </w:tcPr>
                <w:p w14:paraId="3A241C8B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-ճանապարհաշինություն</w:t>
                  </w:r>
                </w:p>
              </w:tc>
              <w:tc>
                <w:tcPr>
                  <w:tcW w:w="1967" w:type="dxa"/>
                </w:tcPr>
                <w:p w14:paraId="1667DA7D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1184360,0</w:t>
                  </w:r>
                </w:p>
              </w:tc>
              <w:tc>
                <w:tcPr>
                  <w:tcW w:w="1985" w:type="dxa"/>
                </w:tcPr>
                <w:p w14:paraId="2935A6A8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810000,0</w:t>
                  </w:r>
                </w:p>
              </w:tc>
            </w:tr>
            <w:tr w:rsidR="008B4958" w14:paraId="2A379AD3" w14:textId="77777777" w:rsidTr="001D1D55">
              <w:tc>
                <w:tcPr>
                  <w:tcW w:w="3388" w:type="dxa"/>
                </w:tcPr>
                <w:p w14:paraId="6C424FAF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ջրամատակարարում</w:t>
                  </w:r>
                </w:p>
              </w:tc>
              <w:tc>
                <w:tcPr>
                  <w:tcW w:w="1967" w:type="dxa"/>
                </w:tcPr>
                <w:p w14:paraId="46F7D7A6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131226,0</w:t>
                  </w:r>
                </w:p>
              </w:tc>
              <w:tc>
                <w:tcPr>
                  <w:tcW w:w="1985" w:type="dxa"/>
                </w:tcPr>
                <w:p w14:paraId="2D18C483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285000,0</w:t>
                  </w:r>
                </w:p>
              </w:tc>
            </w:tr>
            <w:tr w:rsidR="008B4958" w14:paraId="55586F07" w14:textId="77777777" w:rsidTr="001D1D55">
              <w:tc>
                <w:tcPr>
                  <w:tcW w:w="3388" w:type="dxa"/>
                </w:tcPr>
                <w:p w14:paraId="323B6433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փողոցային լուսավորություն</w:t>
                  </w:r>
                </w:p>
              </w:tc>
              <w:tc>
                <w:tcPr>
                  <w:tcW w:w="1967" w:type="dxa"/>
                </w:tcPr>
                <w:p w14:paraId="2B7FC04F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103724,0</w:t>
                  </w:r>
                </w:p>
              </w:tc>
              <w:tc>
                <w:tcPr>
                  <w:tcW w:w="1985" w:type="dxa"/>
                </w:tcPr>
                <w:p w14:paraId="5F0170FC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40000,0</w:t>
                  </w:r>
                </w:p>
              </w:tc>
            </w:tr>
            <w:tr w:rsidR="008B4958" w14:paraId="7095A6A5" w14:textId="77777777" w:rsidTr="001D1D55">
              <w:tc>
                <w:tcPr>
                  <w:tcW w:w="3388" w:type="dxa"/>
                </w:tcPr>
                <w:p w14:paraId="3CA84692" w14:textId="77777777" w:rsidR="008B4958" w:rsidRDefault="008B4958" w:rsidP="001D1D55">
                  <w:pPr>
                    <w:widowControl w:val="0"/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-բնակարանային</w:t>
                  </w:r>
                </w:p>
                <w:p w14:paraId="1EA81F84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շինարարություն</w:t>
                  </w:r>
                </w:p>
              </w:tc>
              <w:tc>
                <w:tcPr>
                  <w:tcW w:w="1967" w:type="dxa"/>
                </w:tcPr>
                <w:p w14:paraId="32CDC194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  <w:tc>
                <w:tcPr>
                  <w:tcW w:w="1985" w:type="dxa"/>
                </w:tcPr>
                <w:p w14:paraId="1A880E34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473000,0</w:t>
                  </w:r>
                </w:p>
              </w:tc>
            </w:tr>
            <w:tr w:rsidR="008B4958" w14:paraId="71BE5B41" w14:textId="77777777" w:rsidTr="001D1D55">
              <w:tc>
                <w:tcPr>
                  <w:tcW w:w="3388" w:type="dxa"/>
                </w:tcPr>
                <w:p w14:paraId="38270C44" w14:textId="77777777" w:rsidR="008B4958" w:rsidRDefault="008B4958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-մշակույթ</w:t>
                  </w:r>
                </w:p>
              </w:tc>
              <w:tc>
                <w:tcPr>
                  <w:tcW w:w="1967" w:type="dxa"/>
                </w:tcPr>
                <w:p w14:paraId="4D0E5E26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  <w:tc>
                <w:tcPr>
                  <w:tcW w:w="1985" w:type="dxa"/>
                </w:tcPr>
                <w:p w14:paraId="3B3EC2A7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99500,0</w:t>
                  </w:r>
                </w:p>
              </w:tc>
            </w:tr>
            <w:tr w:rsidR="008B4958" w14:paraId="16AEEA86" w14:textId="77777777" w:rsidTr="001D1D55">
              <w:tc>
                <w:tcPr>
                  <w:tcW w:w="3388" w:type="dxa"/>
                </w:tcPr>
                <w:p w14:paraId="2EBFBD9B" w14:textId="77777777" w:rsidR="008B4958" w:rsidRDefault="008B4958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-կրթություն</w:t>
                  </w:r>
                </w:p>
              </w:tc>
              <w:tc>
                <w:tcPr>
                  <w:tcW w:w="1967" w:type="dxa"/>
                </w:tcPr>
                <w:p w14:paraId="0CD9B9DB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1744568,6</w:t>
                  </w:r>
                </w:p>
              </w:tc>
              <w:tc>
                <w:tcPr>
                  <w:tcW w:w="1985" w:type="dxa"/>
                </w:tcPr>
                <w:p w14:paraId="17BBB22B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259000,0</w:t>
                  </w:r>
                </w:p>
              </w:tc>
            </w:tr>
            <w:tr w:rsidR="008B4958" w14:paraId="3BF25A29" w14:textId="77777777" w:rsidTr="001D1D55">
              <w:tc>
                <w:tcPr>
                  <w:tcW w:w="3388" w:type="dxa"/>
                </w:tcPr>
                <w:p w14:paraId="4F67D46C" w14:textId="77777777" w:rsidR="008B4958" w:rsidRDefault="008B4958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-հողի օտարումից մուտքեր</w:t>
                  </w:r>
                </w:p>
              </w:tc>
              <w:tc>
                <w:tcPr>
                  <w:tcW w:w="1967" w:type="dxa"/>
                </w:tcPr>
                <w:p w14:paraId="5D4D007C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</w:t>
                  </w:r>
                </w:p>
              </w:tc>
              <w:tc>
                <w:tcPr>
                  <w:tcW w:w="1985" w:type="dxa"/>
                </w:tcPr>
                <w:p w14:paraId="6E18794C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15000.0</w:t>
                  </w:r>
                </w:p>
              </w:tc>
            </w:tr>
            <w:tr w:rsidR="008B4958" w14:paraId="0F85F55C" w14:textId="77777777" w:rsidTr="001D1D55">
              <w:tc>
                <w:tcPr>
                  <w:tcW w:w="3388" w:type="dxa"/>
                </w:tcPr>
                <w:p w14:paraId="5B79B2FB" w14:textId="77777777" w:rsidR="008B4958" w:rsidRDefault="008B4958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-այլ հիմնական միջոցների օտար</w:t>
                  </w:r>
                </w:p>
              </w:tc>
              <w:tc>
                <w:tcPr>
                  <w:tcW w:w="1967" w:type="dxa"/>
                </w:tcPr>
                <w:p w14:paraId="66D42A16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  <w:tc>
                <w:tcPr>
                  <w:tcW w:w="1985" w:type="dxa"/>
                </w:tcPr>
                <w:p w14:paraId="745F8533" w14:textId="77777777" w:rsidR="008B4958" w:rsidRDefault="008B4958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</w:tr>
          </w:tbl>
          <w:p w14:paraId="21227967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</w:p>
        </w:tc>
      </w:tr>
      <w:tr w:rsidR="008B4958" w14:paraId="40322755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4F56305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 Հարկերի, տուրքերի և այլ վճարների հավաքագրում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E494ED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Նախորդ տարվա </w:t>
            </w:r>
            <w:r>
              <w:rPr>
                <w:i/>
                <w:iCs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հարկերի, տուրքերի և այլ վճարների հավաքագրման մակարդակը  122 % է։</w:t>
            </w:r>
          </w:p>
        </w:tc>
      </w:tr>
      <w:tr w:rsidR="008B4958" w14:paraId="2AF7E288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1BBC8C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Համայնքի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ծրագրի իրականացման տարվա միջնաժամակետ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ծախսերի ծրագրով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նախատեսված բյուջետային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մուտքերի (ներառյալ՝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ֆինանսական</w:t>
            </w:r>
          </w:p>
          <w:p w14:paraId="461D2A70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հարթեցման դոտացիայի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գծով նախատեսված մուտքերը) հաշվին նշված ծրագրի իրականացման անհնարինության հիմնավորումը (համապատասխան հաշվարկ- ներով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F1F3E2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Համայնքի 2026թ-ի բյուջեի նախատեսված ընդհանուր մուտքերը կազմում է 4131135,0 դրամ, </w:t>
            </w:r>
          </w:p>
          <w:p w14:paraId="48262634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որից վարչական բյուջեի մուտքեր` 2010425,0 դրամ,</w:t>
            </w:r>
          </w:p>
          <w:p w14:paraId="7A947174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ներառյալ`</w:t>
            </w:r>
          </w:p>
          <w:p w14:paraId="2BD163CE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ընդհանուր բնույթի հանրային ծառայություններ </w:t>
            </w:r>
            <w:r>
              <w:rPr>
                <w:rFonts w:ascii="GHEA Grapalat" w:eastAsia="GHEA Grapalat" w:hAnsi="GHEA Grapalat" w:cs="GHEA Grapalat"/>
                <w:i/>
                <w:iCs/>
                <w:color w:val="FF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41000,0 դրամ / իր մեջ ներառում է ապարատի պահպանման` աշխատավարձ, գործուղումներ, կոմունալ վճարումներ, կապ, տրանսպորտային նյութեր, համակարգչային ծառայություններ և այլ ծախսեր/,</w:t>
            </w:r>
          </w:p>
          <w:p w14:paraId="1AEEA8A2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պաշտպանություն – 0,</w:t>
            </w:r>
          </w:p>
          <w:p w14:paraId="50C81DAD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տնտեսական հարաբերություններ – 1194835,0  դրամ / իր մեջ ներառում է գյուղատնտեսության, տրանսպորտի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և ճանապահային բնագավառում  իրականացվելիք ծախսերը /,</w:t>
            </w:r>
          </w:p>
          <w:p w14:paraId="282752FC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շրջակա միջավայրի պաշտպանություն – 255101,0  դրամ / իր մեջ ներառում է աղբահանության և սելավատարերի մաքրման, կեղտաջրերի հեռացման ծախսեր /,</w:t>
            </w:r>
          </w:p>
          <w:p w14:paraId="07A75EEC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կոմունալ ծառայություն – 511950,0 դրամ / իր մեջ ներառում է ջրամատակարարման և լուսավորման ծառայություններ /</w:t>
            </w:r>
          </w:p>
          <w:p w14:paraId="3AF14140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առողջապահություն – 0,</w:t>
            </w:r>
          </w:p>
          <w:p w14:paraId="546112F5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մշակույթ – 110300 դրամ / , ՀՈԱԿ-ի  պահպանման ծախսեր, ՀՈԱԿ-ում գործում է մշակույթի տուն և գրադարան/,</w:t>
            </w:r>
          </w:p>
          <w:p w14:paraId="2B21319F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կրթություն – 2103868,8  դրամ /ներառում է նախադպրոցական և միջնակարգ կրթության բնագավառի ծախսեր/,</w:t>
            </w:r>
          </w:p>
          <w:p w14:paraId="33797AD4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սոցիալական պաշտպանություն – 4500,0  դրամ / համայնքի սոցիալապես անապահով ընտանիքներին աջակցություն /,</w:t>
            </w:r>
          </w:p>
          <w:p w14:paraId="5669D73A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պահուստային ֆոնդ` 395000,0  դրամ:</w:t>
            </w:r>
          </w:p>
          <w:p w14:paraId="3572BF76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Նշված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 xml:space="preserve"> ծախսերի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հետ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զուգահեռ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միայն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բյուջեով հնարավոր չէ  իրականացնել Տաշիր համայնքի սույն ծրագիրը:</w:t>
            </w:r>
          </w:p>
          <w:p w14:paraId="0E27E138" w14:textId="77777777" w:rsidR="008B4958" w:rsidRDefault="008B4958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  <w:color w:val="FF0000"/>
              </w:rPr>
            </w:pPr>
          </w:p>
        </w:tc>
      </w:tr>
      <w:tr w:rsidR="008B4958" w14:paraId="59C8D3BD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2BA564C" w14:textId="77777777" w:rsidR="008B4958" w:rsidRDefault="008B4958" w:rsidP="001D1D55">
            <w:pPr>
              <w:spacing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ընդհանուր բյուջեն, այդ թվում՝</w:t>
            </w:r>
          </w:p>
          <w:p w14:paraId="418D61C0" w14:textId="77777777" w:rsidR="008B4958" w:rsidRDefault="008B4958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շինարարական օբյեկտների նախագծման արժեքը _________ դրամ,</w:t>
            </w:r>
          </w:p>
          <w:p w14:paraId="67EBC8CF" w14:textId="77777777" w:rsidR="008B4958" w:rsidRDefault="008B4958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նախագծանախահաշվային փաստաթղթերի պետական փորձաքննության</w:t>
            </w:r>
            <w:r>
              <w:rPr>
                <w:rFonts w:ascii="Courier New" w:eastAsia="Courier New" w:hAnsi="Courier New" w:cs="Courier New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ծառայության արժեքը՝ _________ դրամ,</w:t>
            </w:r>
          </w:p>
          <w:p w14:paraId="5B8397AC" w14:textId="77777777" w:rsidR="008B4958" w:rsidRDefault="008B4958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տեխնիկական հսկողության ծառայությունների արժեքը՝ _________ դրամ,</w:t>
            </w:r>
          </w:p>
          <w:p w14:paraId="625E7F98" w14:textId="77777777" w:rsidR="008B4958" w:rsidRDefault="008B4958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հեղինակային հսկողության ծառայությունների արժեքը՝ _________ դրամ,</w:t>
            </w:r>
          </w:p>
          <w:p w14:paraId="5E51C973" w14:textId="77777777" w:rsidR="008B4958" w:rsidRDefault="008B4958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գոյություն ունեցող շենք-շինությունների տեխնիկական վիճակի վերաբերյալ փորձաքննության ծառայության արժեքը՝ _________ դրամ,</w:t>
            </w:r>
          </w:p>
          <w:p w14:paraId="02AA3BD0" w14:textId="77777777" w:rsidR="008B4958" w:rsidRDefault="008B4958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-ինժիներաերկրաբանական հետազոտության ծառայության արժեքը՝ _________ դրամ,</w:t>
            </w:r>
          </w:p>
          <w:p w14:paraId="57C557C7" w14:textId="77777777" w:rsidR="008B4958" w:rsidRDefault="008B4958" w:rsidP="001D1D55">
            <w:pPr>
              <w:spacing w:before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ինչպես նաև առանձին ներկայացնել հասարակական շենքերի և բազմաբնակարան շենքերի ընդհանուր օգտագործման գույքի կառուցման/նորոգման դեպքում՝ էներգախնայողության միջոցառումների արժեքը _________ դրամ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C5567F" w14:textId="77777777" w:rsidR="008B4958" w:rsidRDefault="008B4958" w:rsidP="001D1D55">
            <w:r>
              <w:rPr>
                <w:rFonts w:ascii="GHEA Grapalat" w:eastAsia="GHEA Grapalat" w:hAnsi="GHEA Grapalat" w:cs="GHEA Grapalat"/>
              </w:rPr>
              <w:t>582101.7  հազ</w:t>
            </w:r>
            <w:r>
              <w:rPr>
                <w:rFonts w:ascii="Cambria Math" w:eastAsia="GHEA Grapalat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ՀՀ դրամ (100%)</w:t>
            </w:r>
          </w:p>
          <w:p w14:paraId="55941183" w14:textId="77777777" w:rsidR="008B4958" w:rsidRDefault="008B4958" w:rsidP="008B4958">
            <w:pPr>
              <w:numPr>
                <w:ilvl w:val="0"/>
                <w:numId w:val="16"/>
              </w:num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շինարարական օբյեկտների նախագծման արժեքը՝ 5330,  </w:t>
            </w:r>
          </w:p>
          <w:p w14:paraId="2C70C474" w14:textId="77777777" w:rsidR="008B4958" w:rsidRDefault="008B4958" w:rsidP="008B495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նախագծանախահաշվային փաստաթղթերի պետական փորձաքննության ծառայության արժեքը՝ 500,0,</w:t>
            </w:r>
          </w:p>
          <w:p w14:paraId="7D2D6543" w14:textId="77777777" w:rsidR="008B4958" w:rsidRDefault="008B4958" w:rsidP="008B495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տեխնիկական հսկողության ծառայությունների արժեքը՝ 5625.73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դրամ,</w:t>
            </w:r>
          </w:p>
          <w:p w14:paraId="5192B459" w14:textId="77777777" w:rsidR="008B4958" w:rsidRDefault="008B4958" w:rsidP="008B495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հեղինակային հսկողության ծառայությունների արժեքը՝ 2607.3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ՀՀ. դրամ,</w:t>
            </w:r>
          </w:p>
          <w:p w14:paraId="041DA1AA" w14:textId="77777777" w:rsidR="008B4958" w:rsidRDefault="008B4958" w:rsidP="008B495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գոյություն ունեցող շենք-շինությունների տեխնիկական վիճակի վերաբերյալ փորձաքննության ծառայության արժեքը՝ 0**։</w:t>
            </w:r>
          </w:p>
          <w:p w14:paraId="7FCF9660" w14:textId="77777777" w:rsidR="008B4958" w:rsidRDefault="008B4958" w:rsidP="008B495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ինժիներաերկրաբանական հետազոտության ծառայության արժեքը՝ 0**։</w:t>
            </w:r>
          </w:p>
        </w:tc>
      </w:tr>
      <w:tr w:rsidR="008B4958" w14:paraId="1DA3E6CB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86FE509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կողմից ներդրվող մասնաբաժնի չափը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B248E9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232840.66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(30%)</w:t>
            </w:r>
          </w:p>
        </w:tc>
      </w:tr>
      <w:tr w:rsidR="008B4958" w14:paraId="3AADEA9D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3D9AC8C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Այլ ներդրողներ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D568B" w14:textId="77777777" w:rsidR="008B4958" w:rsidRDefault="008B4958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-</w:t>
            </w:r>
          </w:p>
        </w:tc>
      </w:tr>
      <w:tr w:rsidR="008B4958" w14:paraId="2FB5816C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0E53E4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իրականացման տևողությունը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516E9" w14:textId="77777777" w:rsidR="008B4958" w:rsidRDefault="008B4958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Սկիզբը 01 մայիս 2026թ.,</w:t>
            </w:r>
          </w:p>
          <w:p w14:paraId="633CD49D" w14:textId="77777777" w:rsidR="008B4958" w:rsidRDefault="008B4958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Տևողությունը 15 ամիս:</w:t>
            </w:r>
          </w:p>
        </w:tc>
      </w:tr>
      <w:tr w:rsidR="008B4958" w14:paraId="08BA913C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132E5C6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ծախսերը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5B917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ընդհանուր շինարարական արժեքը կազմում է 582101.7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 ՀՀ դրամ, ներառյալ գույքը:</w:t>
            </w:r>
          </w:p>
        </w:tc>
      </w:tr>
      <w:tr w:rsidR="008B4958" w14:paraId="3B0846DC" w14:textId="77777777" w:rsidTr="001D1D55">
        <w:trPr>
          <w:jc w:val="center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862513B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D34B9A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27.02.2026թ.:</w:t>
            </w:r>
          </w:p>
        </w:tc>
      </w:tr>
    </w:tbl>
    <w:p w14:paraId="47933FC3" w14:textId="77777777" w:rsidR="008B4958" w:rsidRDefault="008B4958" w:rsidP="008B4958">
      <w:pPr>
        <w:shd w:val="clear" w:color="auto" w:fill="FFFFFF"/>
        <w:ind w:right="168"/>
        <w:rPr>
          <w:rFonts w:ascii="GHEA Grapalat" w:eastAsia="GHEA Grapalat" w:hAnsi="GHEA Grapalat" w:cs="GHEA Grapalat"/>
          <w:b/>
          <w:bCs/>
          <w:sz w:val="21"/>
          <w:szCs w:val="21"/>
        </w:rPr>
      </w:pPr>
    </w:p>
    <w:p w14:paraId="7701ED82" w14:textId="77777777" w:rsidR="008B4958" w:rsidRDefault="008B4958" w:rsidP="008B4958">
      <w:pPr>
        <w:shd w:val="clear" w:color="auto" w:fill="FFFFFF"/>
        <w:ind w:left="425" w:right="168" w:firstLine="375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rFonts w:ascii="GHEA Grapalat" w:eastAsia="GHEA Grapalat" w:hAnsi="GHEA Grapalat" w:cs="GHEA Grapalat"/>
          <w:b/>
          <w:bCs/>
          <w:color w:val="000000"/>
          <w:sz w:val="21"/>
          <w:szCs w:val="21"/>
        </w:rPr>
        <w:t>Այլ տեղեկություններ ծրագրի մասին</w:t>
      </w:r>
      <w:r>
        <w:rPr>
          <w:rFonts w:ascii="Courier New" w:eastAsia="Courier New" w:hAnsi="Courier New" w:cs="Courier New"/>
          <w:b/>
          <w:bCs/>
          <w:color w:val="000000"/>
          <w:sz w:val="21"/>
          <w:szCs w:val="21"/>
        </w:rPr>
        <w:t> </w:t>
      </w:r>
      <w:r>
        <w:rPr>
          <w:rFonts w:ascii="GHEA Grapalat" w:eastAsia="GHEA Grapalat" w:hAnsi="GHEA Grapalat" w:cs="GHEA Grapalat"/>
          <w:color w:val="000000"/>
          <w:sz w:val="21"/>
          <w:szCs w:val="21"/>
        </w:rPr>
        <w:t xml:space="preserve">(նշել այն լրացուցիչ հանգամանքները, որոնք կարող են ցույց տալ ծրագրի կարևորությունը, ակնկալվող արդյունքների ազդեցությունը համայնքի և </w:t>
      </w:r>
      <w:r>
        <w:rPr>
          <w:rFonts w:ascii="GHEA Grapalat" w:eastAsia="GHEA Grapalat" w:hAnsi="GHEA Grapalat" w:cs="GHEA Grapalat"/>
          <w:color w:val="000000"/>
          <w:sz w:val="21"/>
          <w:szCs w:val="21"/>
        </w:rPr>
        <w:lastRenderedPageBreak/>
        <w:t>տարածաշրջանի զարգացման վրա, այլ հանգամանքներ, որոնք կարող են հաշվի առնվել ծրագիրը գնահատելու ընթացքում):</w:t>
      </w:r>
    </w:p>
    <w:p w14:paraId="200193FB" w14:textId="77777777" w:rsidR="008B4958" w:rsidRDefault="008B4958" w:rsidP="008B4958">
      <w:pPr>
        <w:shd w:val="clear" w:color="auto" w:fill="FFFFFF"/>
        <w:ind w:left="425" w:right="168" w:firstLine="375"/>
        <w:rPr>
          <w:rFonts w:ascii="Courier New" w:eastAsia="Courier New" w:hAnsi="Courier New" w:cs="Courier New"/>
          <w:color w:val="000000"/>
          <w:sz w:val="21"/>
          <w:szCs w:val="21"/>
        </w:rPr>
      </w:pPr>
      <w:r>
        <w:rPr>
          <w:rFonts w:ascii="Courier New" w:eastAsia="Courier New" w:hAnsi="Courier New" w:cs="Courier New"/>
          <w:color w:val="000000"/>
          <w:sz w:val="21"/>
          <w:szCs w:val="21"/>
        </w:rPr>
        <w:t> </w:t>
      </w:r>
    </w:p>
    <w:p w14:paraId="7796D27B" w14:textId="77777777" w:rsidR="008B4958" w:rsidRDefault="008B4958" w:rsidP="008B4958">
      <w:pPr>
        <w:shd w:val="clear" w:color="auto" w:fill="FFFFFF"/>
        <w:ind w:left="426" w:right="168" w:hanging="51"/>
        <w:rPr>
          <w:rFonts w:ascii="GHEA Grapalat" w:eastAsia="GHEA Grapalat" w:hAnsi="GHEA Grapalat" w:cs="GHEA Grapalat"/>
          <w:i/>
          <w:iCs/>
          <w:color w:val="FF0000"/>
        </w:rPr>
      </w:pPr>
      <w:r>
        <w:rPr>
          <w:rFonts w:ascii="GHEA Grapalat" w:eastAsia="GHEA Grapalat" w:hAnsi="GHEA Grapalat" w:cs="GHEA Grapalat"/>
          <w:sz w:val="21"/>
          <w:szCs w:val="21"/>
        </w:rPr>
        <w:t>*</w:t>
      </w:r>
      <w:r>
        <w:rPr>
          <w:rFonts w:ascii="GHEA Grapalat" w:eastAsia="GHEA Grapalat" w:hAnsi="GHEA Grapalat" w:cs="GHEA Grapalat"/>
          <w:i/>
          <w:iCs/>
        </w:rPr>
        <w:t>պետական փորձաքննության ծառայությունը ներառված է լինելու նախագծման արժեքի մեջ։ **գոյություն ունեցող շենք-շինությունների տեխնիկական վիճակի վերաբերյալ փորձաքննություն չի իրականացվել քանի որ շենքը կառուցվում է 0-ից։</w:t>
      </w:r>
    </w:p>
    <w:p w14:paraId="7015B1C4" w14:textId="77777777" w:rsidR="008B4958" w:rsidRDefault="008B4958" w:rsidP="008B4958">
      <w:pPr>
        <w:shd w:val="clear" w:color="auto" w:fill="FFFFFF"/>
        <w:ind w:left="426" w:right="168" w:hanging="51"/>
        <w:rPr>
          <w:rFonts w:ascii="GHEA Grapalat" w:eastAsia="GHEA Grapalat" w:hAnsi="GHEA Grapalat" w:cs="GHEA Grapalat"/>
          <w:i/>
          <w:iCs/>
        </w:rPr>
      </w:pPr>
    </w:p>
    <w:p w14:paraId="0B519A6D" w14:textId="77777777" w:rsidR="008B4958" w:rsidRDefault="008B4958" w:rsidP="008B4958">
      <w:pPr>
        <w:shd w:val="clear" w:color="auto" w:fill="FFFFFF"/>
        <w:ind w:left="425" w:right="168" w:firstLine="375"/>
        <w:rPr>
          <w:rFonts w:ascii="Courier New" w:eastAsia="Courier New" w:hAnsi="Courier New" w:cs="Courier New"/>
          <w:sz w:val="21"/>
          <w:szCs w:val="21"/>
        </w:rPr>
      </w:pPr>
    </w:p>
    <w:p w14:paraId="549E0291" w14:textId="77777777" w:rsidR="008B4958" w:rsidRDefault="008B4958" w:rsidP="008B49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left="425" w:right="168" w:firstLine="375"/>
        <w:jc w:val="both"/>
        <w:rPr>
          <w:rFonts w:ascii="GHEA Grapalat" w:eastAsia="GHEA Grapalat" w:hAnsi="GHEA Grapalat" w:cs="GHEA Grapalat"/>
          <w:b/>
          <w:bCs/>
          <w:color w:val="000000"/>
          <w:sz w:val="21"/>
          <w:szCs w:val="21"/>
        </w:rPr>
      </w:pPr>
      <w:r>
        <w:rPr>
          <w:rFonts w:ascii="GHEA Grapalat" w:eastAsia="GHEA Grapalat" w:hAnsi="GHEA Grapalat" w:cs="GHEA Grapalat"/>
          <w:b/>
          <w:bCs/>
          <w:sz w:val="21"/>
          <w:szCs w:val="21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000000"/>
          <w:sz w:val="21"/>
          <w:szCs w:val="21"/>
        </w:rPr>
        <w:t xml:space="preserve">Համայնքի տնտեսական պատասխանատույի </w:t>
      </w:r>
    </w:p>
    <w:p w14:paraId="4CD54CA4" w14:textId="77777777" w:rsidR="008B4958" w:rsidRDefault="008B4958" w:rsidP="008B49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left="425" w:right="168" w:firstLine="375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bCs/>
          <w:color w:val="000000"/>
          <w:sz w:val="21"/>
          <w:szCs w:val="21"/>
        </w:rPr>
        <w:t xml:space="preserve">պարտականությունները կատարող՝  </w:t>
      </w:r>
      <w:r>
        <w:rPr>
          <w:rFonts w:ascii="GHEA Grapalat" w:eastAsia="GHEA Grapalat" w:hAnsi="GHEA Grapalat" w:cs="GHEA Grapalat"/>
        </w:rPr>
        <w:t>Աստղիկ Բարոյան</w:t>
      </w:r>
    </w:p>
    <w:p w14:paraId="2DEA12DC" w14:textId="77777777" w:rsidR="008B4958" w:rsidRDefault="008B4958" w:rsidP="008B49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left="425" w:right="168" w:firstLine="375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000000"/>
        </w:rPr>
        <w:t>Հեռախոսահամար՝</w:t>
      </w:r>
      <w:r>
        <w:rPr>
          <w:rFonts w:ascii="GHEA Grapalat" w:eastAsia="GHEA Grapalat" w:hAnsi="GHEA Grapalat" w:cs="GHEA Grapalat"/>
          <w:color w:val="000000"/>
        </w:rPr>
        <w:t>+374</w:t>
      </w:r>
      <w:r>
        <w:rPr>
          <w:rFonts w:ascii="GHEA Grapalat" w:eastAsia="GHEA Grapalat" w:hAnsi="GHEA Grapalat" w:cs="GHEA Grapalat"/>
        </w:rPr>
        <w:t>94330476</w:t>
      </w:r>
    </w:p>
    <w:p w14:paraId="07E24F40" w14:textId="77777777" w:rsidR="008B4958" w:rsidRDefault="008B4958" w:rsidP="008B4958">
      <w:pPr>
        <w:shd w:val="clear" w:color="auto" w:fill="FFFFFF"/>
        <w:ind w:left="425" w:right="168" w:firstLine="375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Էլեկտրոնային փոստը՝</w:t>
      </w:r>
      <w:r>
        <w:rPr>
          <w:rFonts w:ascii="GHEA Grapalat" w:eastAsia="GHEA Grapalat" w:hAnsi="GHEA Grapalat" w:cs="GHEA Grapalat"/>
        </w:rPr>
        <w:t xml:space="preserve"> developmentprogramstashir@gmail.com</w:t>
      </w:r>
    </w:p>
    <w:p w14:paraId="10070F1D" w14:textId="77777777" w:rsidR="008B4958" w:rsidRDefault="008B4958" w:rsidP="008B4958">
      <w:pPr>
        <w:shd w:val="clear" w:color="auto" w:fill="FFFFFF"/>
        <w:ind w:left="425" w:right="168" w:firstLine="375"/>
        <w:rPr>
          <w:rFonts w:ascii="GHEA Grapalat" w:eastAsia="GHEA Grapalat" w:hAnsi="GHEA Grapalat" w:cs="GHEA Grapalat"/>
          <w:sz w:val="21"/>
          <w:szCs w:val="21"/>
        </w:rPr>
      </w:pPr>
      <w:r>
        <w:rPr>
          <w:rFonts w:ascii="Courier New" w:eastAsia="Courier New" w:hAnsi="Courier New" w:cs="Courier New"/>
          <w:color w:val="000000"/>
          <w:sz w:val="21"/>
          <w:szCs w:val="21"/>
        </w:rPr>
        <w:t> </w:t>
      </w:r>
      <w:r>
        <w:rPr>
          <w:rFonts w:ascii="GHEA Grapalat" w:eastAsia="GHEA Grapalat" w:hAnsi="GHEA Grapalat" w:cs="GHEA Grapalat"/>
          <w:color w:val="000000"/>
          <w:sz w:val="21"/>
          <w:szCs w:val="21"/>
        </w:rPr>
        <w:t>___________________________________________________________________________</w:t>
      </w:r>
    </w:p>
    <w:p w14:paraId="79DB7C3C" w14:textId="77777777" w:rsidR="008B4958" w:rsidRDefault="008B4958" w:rsidP="008B4958">
      <w:pPr>
        <w:shd w:val="clear" w:color="auto" w:fill="FFFFFF"/>
        <w:ind w:left="425" w:right="168" w:firstLine="375"/>
        <w:rPr>
          <w:rFonts w:ascii="GHEA Grapalat" w:eastAsia="GHEA Grapalat" w:hAnsi="GHEA Grapalat" w:cs="GHEA Grapalat"/>
          <w:sz w:val="21"/>
          <w:szCs w:val="21"/>
        </w:rPr>
      </w:pPr>
    </w:p>
    <w:p w14:paraId="743A0C8B" w14:textId="77777777" w:rsidR="008B4958" w:rsidRDefault="008B4958" w:rsidP="008B4958">
      <w:pPr>
        <w:shd w:val="clear" w:color="auto" w:fill="FFFFFF"/>
        <w:ind w:right="168"/>
        <w:rPr>
          <w:rFonts w:ascii="GHEA Grapalat" w:eastAsia="GHEA Grapalat" w:hAnsi="GHEA Grapalat" w:cs="GHEA Grapalat"/>
          <w:sz w:val="21"/>
          <w:szCs w:val="21"/>
        </w:rPr>
      </w:pPr>
    </w:p>
    <w:tbl>
      <w:tblPr>
        <w:tblpPr w:leftFromText="180" w:rightFromText="180" w:vertAnchor="text" w:tblpX="345"/>
        <w:tblW w:w="9750" w:type="dxa"/>
        <w:tblLayout w:type="fixed"/>
        <w:tblLook w:val="0400" w:firstRow="0" w:lastRow="0" w:firstColumn="0" w:lastColumn="0" w:noHBand="0" w:noVBand="1"/>
      </w:tblPr>
      <w:tblGrid>
        <w:gridCol w:w="6121"/>
        <w:gridCol w:w="3629"/>
      </w:tblGrid>
      <w:tr w:rsidR="008B4958" w14:paraId="75DCB7B1" w14:textId="77777777" w:rsidTr="001D1D55">
        <w:tc>
          <w:tcPr>
            <w:tcW w:w="6121" w:type="dxa"/>
          </w:tcPr>
          <w:p w14:paraId="72002F59" w14:textId="77777777" w:rsidR="008B4958" w:rsidRDefault="008B4958" w:rsidP="001D1D55">
            <w:pPr>
              <w:ind w:left="425" w:right="168" w:firstLine="375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  <w:p w14:paraId="0C25571B" w14:textId="77777777" w:rsidR="008B4958" w:rsidRDefault="008B4958" w:rsidP="001D1D55">
            <w:pPr>
              <w:ind w:left="425" w:right="168" w:firstLine="375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  <w:p w14:paraId="0F8B5E55" w14:textId="77777777" w:rsidR="008B4958" w:rsidRDefault="008B4958" w:rsidP="001D1D55">
            <w:pPr>
              <w:ind w:left="425" w:right="168" w:firstLine="375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  <w:p w14:paraId="70AEAD35" w14:textId="77777777" w:rsidR="008B4958" w:rsidRDefault="008B4958" w:rsidP="001D1D55">
            <w:pPr>
              <w:ind w:left="425" w:right="168" w:firstLine="375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  <w:p w14:paraId="7837AB48" w14:textId="77777777" w:rsidR="008B4958" w:rsidRDefault="008B4958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 xml:space="preserve">        Համայնքի ղեկավար    </w:t>
            </w:r>
          </w:p>
        </w:tc>
        <w:tc>
          <w:tcPr>
            <w:tcW w:w="3629" w:type="dxa"/>
            <w:vAlign w:val="center"/>
          </w:tcPr>
          <w:p w14:paraId="0AB2F20E" w14:textId="77777777" w:rsidR="008B4958" w:rsidRDefault="008B4958" w:rsidP="001D1D55">
            <w:pPr>
              <w:ind w:left="425" w:right="168" w:firstLine="375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  <w:p w14:paraId="0DFCB12C" w14:textId="77777777" w:rsidR="008B4958" w:rsidRDefault="008B4958" w:rsidP="001D1D55">
            <w:pPr>
              <w:ind w:left="425" w:right="168" w:firstLine="375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  <w:p w14:paraId="32258D4C" w14:textId="77777777" w:rsidR="008B4958" w:rsidRDefault="008B4958" w:rsidP="001D1D55">
            <w:pPr>
              <w:ind w:left="425" w:right="168" w:firstLine="375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  <w:p w14:paraId="65AA6BCE" w14:textId="77777777" w:rsidR="008B4958" w:rsidRDefault="008B4958" w:rsidP="001D1D55">
            <w:pPr>
              <w:ind w:left="425" w:right="168" w:firstLine="375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  <w:p w14:paraId="55F6BDD0" w14:textId="77777777" w:rsidR="008B4958" w:rsidRDefault="008B4958" w:rsidP="001D1D55">
            <w:pPr>
              <w:ind w:left="425" w:right="168" w:firstLine="375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Է.Արշակյան</w:t>
            </w:r>
          </w:p>
        </w:tc>
      </w:tr>
      <w:tr w:rsidR="008B4958" w14:paraId="5E7F4753" w14:textId="77777777" w:rsidTr="001D1D55">
        <w:tc>
          <w:tcPr>
            <w:tcW w:w="6121" w:type="dxa"/>
          </w:tcPr>
          <w:p w14:paraId="2F7FE70E" w14:textId="77777777" w:rsidR="008B4958" w:rsidRDefault="008B4958" w:rsidP="001D1D55">
            <w:pPr>
              <w:ind w:left="425" w:right="168" w:firstLine="375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sz w:val="21"/>
                <w:szCs w:val="21"/>
              </w:rPr>
              <w:t xml:space="preserve"> </w:t>
            </w:r>
          </w:p>
          <w:p w14:paraId="58CFD156" w14:textId="77777777" w:rsidR="008B4958" w:rsidRDefault="008B4958" w:rsidP="001D1D55">
            <w:pPr>
              <w:ind w:left="425" w:right="168" w:firstLine="375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sz w:val="21"/>
                <w:szCs w:val="21"/>
              </w:rPr>
              <w:t xml:space="preserve">                                              Կ</w:t>
            </w:r>
            <w:r>
              <w:rPr>
                <w:rFonts w:ascii="Cambria Math" w:eastAsia="GHEA Grapalat" w:hAnsi="Cambria Math" w:cs="Cambria Math"/>
                <w:sz w:val="21"/>
                <w:szCs w:val="21"/>
              </w:rPr>
              <w:t>․</w:t>
            </w:r>
            <w:r>
              <w:rPr>
                <w:rFonts w:ascii="GHEA Grapalat" w:eastAsia="GHEA Grapalat" w:hAnsi="GHEA Grapalat" w:cs="GHEA Grapalat"/>
                <w:sz w:val="21"/>
                <w:szCs w:val="21"/>
              </w:rPr>
              <w:t>Տ</w:t>
            </w:r>
          </w:p>
        </w:tc>
        <w:tc>
          <w:tcPr>
            <w:tcW w:w="3629" w:type="dxa"/>
            <w:vAlign w:val="center"/>
          </w:tcPr>
          <w:p w14:paraId="379EB47F" w14:textId="77777777" w:rsidR="008B4958" w:rsidRDefault="008B4958" w:rsidP="001D1D55">
            <w:pPr>
              <w:ind w:left="425" w:right="168" w:firstLine="375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</w:tbl>
    <w:p w14:paraId="53E0172A" w14:textId="77777777" w:rsidR="008B4958" w:rsidRDefault="008B4958" w:rsidP="008B4958">
      <w:pPr>
        <w:ind w:left="425" w:right="168" w:firstLine="375"/>
        <w:rPr>
          <w:rFonts w:ascii="GHEA Grapalat" w:eastAsia="GHEA Grapalat" w:hAnsi="GHEA Grapalat" w:cs="GHEA Grapalat"/>
          <w:sz w:val="21"/>
          <w:szCs w:val="21"/>
        </w:rPr>
      </w:pPr>
    </w:p>
    <w:p w14:paraId="790D1E78" w14:textId="77777777" w:rsidR="003513DD" w:rsidRPr="008B4958" w:rsidRDefault="003513DD" w:rsidP="008B4958">
      <w:bookmarkStart w:id="2" w:name="_GoBack"/>
      <w:bookmarkEnd w:id="2"/>
    </w:p>
    <w:sectPr w:rsidR="003513DD" w:rsidRPr="008B4958" w:rsidSect="007C040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0C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42E6"/>
    <w:multiLevelType w:val="multilevel"/>
    <w:tmpl w:val="7BA86E88"/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00690C"/>
    <w:multiLevelType w:val="multilevel"/>
    <w:tmpl w:val="903E2A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3B7FAA"/>
    <w:multiLevelType w:val="multilevel"/>
    <w:tmpl w:val="03D69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F87C98"/>
    <w:multiLevelType w:val="multilevel"/>
    <w:tmpl w:val="41A24B1C"/>
    <w:lvl w:ilvl="0">
      <w:numFmt w:val="bullet"/>
      <w:lvlText w:val="●"/>
      <w:lvlJc w:val="left"/>
      <w:pPr>
        <w:ind w:left="741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438" w:hanging="360"/>
      </w:pPr>
    </w:lvl>
    <w:lvl w:ilvl="2">
      <w:numFmt w:val="bullet"/>
      <w:lvlText w:val="•"/>
      <w:lvlJc w:val="left"/>
      <w:pPr>
        <w:ind w:left="2136" w:hanging="360"/>
      </w:pPr>
    </w:lvl>
    <w:lvl w:ilvl="3">
      <w:numFmt w:val="bullet"/>
      <w:lvlText w:val="•"/>
      <w:lvlJc w:val="left"/>
      <w:pPr>
        <w:ind w:left="2834" w:hanging="360"/>
      </w:pPr>
    </w:lvl>
    <w:lvl w:ilvl="4">
      <w:numFmt w:val="bullet"/>
      <w:lvlText w:val="•"/>
      <w:lvlJc w:val="left"/>
      <w:pPr>
        <w:ind w:left="3532" w:hanging="360"/>
      </w:pPr>
    </w:lvl>
    <w:lvl w:ilvl="5">
      <w:numFmt w:val="bullet"/>
      <w:lvlText w:val="•"/>
      <w:lvlJc w:val="left"/>
      <w:pPr>
        <w:ind w:left="4231" w:hanging="360"/>
      </w:pPr>
    </w:lvl>
    <w:lvl w:ilvl="6">
      <w:numFmt w:val="bullet"/>
      <w:lvlText w:val="•"/>
      <w:lvlJc w:val="left"/>
      <w:pPr>
        <w:ind w:left="4929" w:hanging="360"/>
      </w:pPr>
    </w:lvl>
    <w:lvl w:ilvl="7">
      <w:numFmt w:val="bullet"/>
      <w:lvlText w:val="•"/>
      <w:lvlJc w:val="left"/>
      <w:pPr>
        <w:ind w:left="5627" w:hanging="360"/>
      </w:pPr>
    </w:lvl>
    <w:lvl w:ilvl="8">
      <w:numFmt w:val="bullet"/>
      <w:lvlText w:val="•"/>
      <w:lvlJc w:val="left"/>
      <w:pPr>
        <w:ind w:left="6325" w:hanging="360"/>
      </w:pPr>
    </w:lvl>
  </w:abstractNum>
  <w:abstractNum w:abstractNumId="4" w15:restartNumberingAfterBreak="0">
    <w:nsid w:val="0F821FFC"/>
    <w:multiLevelType w:val="multilevel"/>
    <w:tmpl w:val="6ED8B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01B0EFA"/>
    <w:multiLevelType w:val="multilevel"/>
    <w:tmpl w:val="59C0B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3F6F38"/>
    <w:multiLevelType w:val="multilevel"/>
    <w:tmpl w:val="EB220D86"/>
    <w:lvl w:ilvl="0">
      <w:numFmt w:val="bullet"/>
      <w:lvlText w:val="●"/>
      <w:lvlJc w:val="left"/>
      <w:pPr>
        <w:ind w:left="750" w:hanging="360"/>
      </w:pPr>
      <w:rPr>
        <w:u w:val="none"/>
      </w:rPr>
    </w:lvl>
    <w:lvl w:ilvl="1">
      <w:numFmt w:val="bullet"/>
      <w:lvlText w:val="○"/>
      <w:lvlJc w:val="left"/>
      <w:pPr>
        <w:ind w:left="1354" w:hanging="360"/>
      </w:pPr>
      <w:rPr>
        <w:u w:val="none"/>
      </w:rPr>
    </w:lvl>
    <w:lvl w:ilvl="2">
      <w:numFmt w:val="bullet"/>
      <w:lvlText w:val="■"/>
      <w:lvlJc w:val="left"/>
      <w:pPr>
        <w:ind w:left="1949" w:hanging="360"/>
      </w:pPr>
      <w:rPr>
        <w:u w:val="none"/>
      </w:rPr>
    </w:lvl>
    <w:lvl w:ilvl="3">
      <w:numFmt w:val="bullet"/>
      <w:lvlText w:val="●"/>
      <w:lvlJc w:val="left"/>
      <w:pPr>
        <w:ind w:left="2544" w:hanging="360"/>
      </w:pPr>
      <w:rPr>
        <w:u w:val="none"/>
      </w:rPr>
    </w:lvl>
    <w:lvl w:ilvl="4">
      <w:numFmt w:val="bullet"/>
      <w:lvlText w:val="○"/>
      <w:lvlJc w:val="left"/>
      <w:pPr>
        <w:ind w:left="3139" w:hanging="360"/>
      </w:pPr>
      <w:rPr>
        <w:u w:val="none"/>
      </w:rPr>
    </w:lvl>
    <w:lvl w:ilvl="5">
      <w:numFmt w:val="bullet"/>
      <w:lvlText w:val="■"/>
      <w:lvlJc w:val="left"/>
      <w:pPr>
        <w:ind w:left="3734" w:hanging="360"/>
      </w:pPr>
      <w:rPr>
        <w:u w:val="none"/>
      </w:rPr>
    </w:lvl>
    <w:lvl w:ilvl="6">
      <w:numFmt w:val="bullet"/>
      <w:lvlText w:val="●"/>
      <w:lvlJc w:val="left"/>
      <w:pPr>
        <w:ind w:left="4328" w:hanging="360"/>
      </w:pPr>
      <w:rPr>
        <w:u w:val="none"/>
      </w:rPr>
    </w:lvl>
    <w:lvl w:ilvl="7">
      <w:numFmt w:val="bullet"/>
      <w:lvlText w:val="○"/>
      <w:lvlJc w:val="left"/>
      <w:pPr>
        <w:ind w:left="4923" w:hanging="360"/>
      </w:pPr>
      <w:rPr>
        <w:u w:val="none"/>
      </w:rPr>
    </w:lvl>
    <w:lvl w:ilvl="8">
      <w:numFmt w:val="bullet"/>
      <w:lvlText w:val="■"/>
      <w:lvlJc w:val="left"/>
      <w:pPr>
        <w:ind w:left="5518" w:hanging="360"/>
      </w:pPr>
      <w:rPr>
        <w:u w:val="none"/>
      </w:rPr>
    </w:lvl>
  </w:abstractNum>
  <w:abstractNum w:abstractNumId="7" w15:restartNumberingAfterBreak="0">
    <w:nsid w:val="1A833A94"/>
    <w:multiLevelType w:val="multilevel"/>
    <w:tmpl w:val="DB26D6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2B3B1C"/>
    <w:multiLevelType w:val="multilevel"/>
    <w:tmpl w:val="CC16DD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46C5812"/>
    <w:multiLevelType w:val="multilevel"/>
    <w:tmpl w:val="00FAE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B3709A"/>
    <w:multiLevelType w:val="multilevel"/>
    <w:tmpl w:val="271E32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1DF5B73"/>
    <w:multiLevelType w:val="multilevel"/>
    <w:tmpl w:val="22F09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9363A7"/>
    <w:multiLevelType w:val="multilevel"/>
    <w:tmpl w:val="6FB26A3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CF809E6"/>
    <w:multiLevelType w:val="multilevel"/>
    <w:tmpl w:val="F362A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9695B16"/>
    <w:multiLevelType w:val="multilevel"/>
    <w:tmpl w:val="28C22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F074E19"/>
    <w:multiLevelType w:val="multilevel"/>
    <w:tmpl w:val="B6682B5E"/>
    <w:lvl w:ilvl="0">
      <w:start w:val="1"/>
      <w:numFmt w:val="bullet"/>
      <w:lvlText w:val="●"/>
      <w:lvlJc w:val="left"/>
      <w:pPr>
        <w:ind w:left="76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8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0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2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4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6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8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0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25" w:hanging="360"/>
      </w:pPr>
      <w:rPr>
        <w:u w:val="none"/>
      </w:rPr>
    </w:lvl>
  </w:abstractNum>
  <w:abstractNum w:abstractNumId="16" w15:restartNumberingAfterBreak="0">
    <w:nsid w:val="5F63339C"/>
    <w:multiLevelType w:val="multilevel"/>
    <w:tmpl w:val="3F00350E"/>
    <w:lvl w:ilvl="0">
      <w:start w:val="1"/>
      <w:numFmt w:val="bullet"/>
      <w:lvlText w:val="●"/>
      <w:lvlJc w:val="left"/>
      <w:pPr>
        <w:ind w:left="88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0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2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4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6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8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0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2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45" w:hanging="360"/>
      </w:pPr>
      <w:rPr>
        <w:u w:val="none"/>
      </w:rPr>
    </w:lvl>
  </w:abstractNum>
  <w:abstractNum w:abstractNumId="17" w15:restartNumberingAfterBreak="0">
    <w:nsid w:val="639C251C"/>
    <w:multiLevelType w:val="multilevel"/>
    <w:tmpl w:val="BAE8E9E8"/>
    <w:lvl w:ilvl="0">
      <w:start w:val="6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4D458EA"/>
    <w:multiLevelType w:val="multilevel"/>
    <w:tmpl w:val="B5D2E8AE"/>
    <w:lvl w:ilvl="0">
      <w:start w:val="1"/>
      <w:numFmt w:val="bullet"/>
      <w:lvlText w:val="●"/>
      <w:lvlJc w:val="left"/>
      <w:pPr>
        <w:ind w:left="7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5F1E3F"/>
    <w:multiLevelType w:val="multilevel"/>
    <w:tmpl w:val="039A757E"/>
    <w:lvl w:ilvl="0">
      <w:numFmt w:val="bullet"/>
      <w:lvlText w:val="●"/>
      <w:lvlJc w:val="left"/>
      <w:pPr>
        <w:ind w:left="750" w:hanging="360"/>
      </w:pPr>
      <w:rPr>
        <w:u w:val="none"/>
      </w:rPr>
    </w:lvl>
    <w:lvl w:ilvl="1">
      <w:numFmt w:val="bullet"/>
      <w:lvlText w:val="○"/>
      <w:lvlJc w:val="left"/>
      <w:pPr>
        <w:ind w:left="1354" w:hanging="360"/>
      </w:pPr>
      <w:rPr>
        <w:u w:val="none"/>
      </w:rPr>
    </w:lvl>
    <w:lvl w:ilvl="2">
      <w:numFmt w:val="bullet"/>
      <w:lvlText w:val="■"/>
      <w:lvlJc w:val="left"/>
      <w:pPr>
        <w:ind w:left="1949" w:hanging="360"/>
      </w:pPr>
      <w:rPr>
        <w:u w:val="none"/>
      </w:rPr>
    </w:lvl>
    <w:lvl w:ilvl="3">
      <w:numFmt w:val="bullet"/>
      <w:lvlText w:val="●"/>
      <w:lvlJc w:val="left"/>
      <w:pPr>
        <w:ind w:left="2544" w:hanging="360"/>
      </w:pPr>
      <w:rPr>
        <w:u w:val="none"/>
      </w:rPr>
    </w:lvl>
    <w:lvl w:ilvl="4">
      <w:numFmt w:val="bullet"/>
      <w:lvlText w:val="○"/>
      <w:lvlJc w:val="left"/>
      <w:pPr>
        <w:ind w:left="3139" w:hanging="360"/>
      </w:pPr>
      <w:rPr>
        <w:u w:val="none"/>
      </w:rPr>
    </w:lvl>
    <w:lvl w:ilvl="5">
      <w:numFmt w:val="bullet"/>
      <w:lvlText w:val="■"/>
      <w:lvlJc w:val="left"/>
      <w:pPr>
        <w:ind w:left="3734" w:hanging="360"/>
      </w:pPr>
      <w:rPr>
        <w:u w:val="none"/>
      </w:rPr>
    </w:lvl>
    <w:lvl w:ilvl="6">
      <w:numFmt w:val="bullet"/>
      <w:lvlText w:val="●"/>
      <w:lvlJc w:val="left"/>
      <w:pPr>
        <w:ind w:left="4328" w:hanging="360"/>
      </w:pPr>
      <w:rPr>
        <w:u w:val="none"/>
      </w:rPr>
    </w:lvl>
    <w:lvl w:ilvl="7">
      <w:numFmt w:val="bullet"/>
      <w:lvlText w:val="○"/>
      <w:lvlJc w:val="left"/>
      <w:pPr>
        <w:ind w:left="4923" w:hanging="360"/>
      </w:pPr>
      <w:rPr>
        <w:u w:val="none"/>
      </w:rPr>
    </w:lvl>
    <w:lvl w:ilvl="8">
      <w:numFmt w:val="bullet"/>
      <w:lvlText w:val="■"/>
      <w:lvlJc w:val="left"/>
      <w:pPr>
        <w:ind w:left="5518" w:hanging="360"/>
      </w:pPr>
      <w:rPr>
        <w:u w:val="none"/>
      </w:rPr>
    </w:lvl>
  </w:abstractNum>
  <w:abstractNum w:abstractNumId="20" w15:restartNumberingAfterBreak="0">
    <w:nsid w:val="708626B7"/>
    <w:multiLevelType w:val="multilevel"/>
    <w:tmpl w:val="E91A41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0DB4D0F"/>
    <w:multiLevelType w:val="multilevel"/>
    <w:tmpl w:val="1DCED1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3392644"/>
    <w:multiLevelType w:val="multilevel"/>
    <w:tmpl w:val="766ED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A86311D"/>
    <w:multiLevelType w:val="multilevel"/>
    <w:tmpl w:val="E7BCA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C642E7"/>
    <w:multiLevelType w:val="multilevel"/>
    <w:tmpl w:val="ACF84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4"/>
  </w:num>
  <w:num w:numId="3">
    <w:abstractNumId w:val="1"/>
  </w:num>
  <w:num w:numId="4">
    <w:abstractNumId w:val="8"/>
  </w:num>
  <w:num w:numId="5">
    <w:abstractNumId w:val="0"/>
  </w:num>
  <w:num w:numId="6">
    <w:abstractNumId w:val="16"/>
  </w:num>
  <w:num w:numId="7">
    <w:abstractNumId w:val="14"/>
  </w:num>
  <w:num w:numId="8">
    <w:abstractNumId w:val="6"/>
  </w:num>
  <w:num w:numId="9">
    <w:abstractNumId w:val="21"/>
  </w:num>
  <w:num w:numId="10">
    <w:abstractNumId w:val="4"/>
  </w:num>
  <w:num w:numId="11">
    <w:abstractNumId w:val="19"/>
  </w:num>
  <w:num w:numId="12">
    <w:abstractNumId w:val="18"/>
  </w:num>
  <w:num w:numId="13">
    <w:abstractNumId w:val="3"/>
  </w:num>
  <w:num w:numId="14">
    <w:abstractNumId w:val="20"/>
  </w:num>
  <w:num w:numId="15">
    <w:abstractNumId w:val="7"/>
  </w:num>
  <w:num w:numId="16">
    <w:abstractNumId w:val="2"/>
  </w:num>
  <w:num w:numId="17">
    <w:abstractNumId w:val="13"/>
  </w:num>
  <w:num w:numId="18">
    <w:abstractNumId w:val="23"/>
  </w:num>
  <w:num w:numId="19">
    <w:abstractNumId w:val="12"/>
  </w:num>
  <w:num w:numId="20">
    <w:abstractNumId w:val="17"/>
  </w:num>
  <w:num w:numId="21">
    <w:abstractNumId w:val="22"/>
  </w:num>
  <w:num w:numId="22">
    <w:abstractNumId w:val="15"/>
  </w:num>
  <w:num w:numId="23">
    <w:abstractNumId w:val="5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1"/>
    <w:rsid w:val="0028073A"/>
    <w:rsid w:val="003513DD"/>
    <w:rsid w:val="003F6DDE"/>
    <w:rsid w:val="00562A51"/>
    <w:rsid w:val="007C0401"/>
    <w:rsid w:val="008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3D6"/>
  <w15:chartTrackingRefBased/>
  <w15:docId w15:val="{C8D7A098-6AB6-472B-9248-EA62FF6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28073A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28073A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73A"/>
    <w:rPr>
      <w:b/>
      <w:bCs/>
    </w:rPr>
  </w:style>
  <w:style w:type="table" w:styleId="a6">
    <w:name w:val="Table Grid"/>
    <w:basedOn w:val="a1"/>
    <w:uiPriority w:val="59"/>
    <w:rsid w:val="002807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8"/>
    <w:uiPriority w:val="34"/>
    <w:qFormat/>
    <w:rsid w:val="007C0401"/>
    <w:pPr>
      <w:ind w:left="720"/>
      <w:contextualSpacing/>
    </w:pPr>
  </w:style>
  <w:style w:type="character" w:customStyle="1" w:styleId="a8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7"/>
    <w:uiPriority w:val="34"/>
    <w:qFormat/>
    <w:locked/>
    <w:rsid w:val="007C0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F6D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2400</Words>
  <Characters>13680</Characters>
  <Application>Microsoft Office Word</Application>
  <DocSecurity>0</DocSecurity>
  <Lines>114</Lines>
  <Paragraphs>32</Paragraphs>
  <ScaleCrop>false</ScaleCrop>
  <Company/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5</cp:revision>
  <dcterms:created xsi:type="dcterms:W3CDTF">2026-02-25T12:03:00Z</dcterms:created>
  <dcterms:modified xsi:type="dcterms:W3CDTF">2026-02-25T12:13:00Z</dcterms:modified>
</cp:coreProperties>
</file>