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48.0" w:type="dxa"/>
        <w:jc w:val="left"/>
        <w:tblInd w:w="-12.0" w:type="dxa"/>
        <w:tblLayout w:type="fixed"/>
        <w:tblLook w:val="0400"/>
      </w:tblPr>
      <w:tblGrid>
        <w:gridCol w:w="10848"/>
        <w:tblGridChange w:id="0">
          <w:tblGrid>
            <w:gridCol w:w="10848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2">
            <w:pPr>
              <w:ind w:right="168" w:firstLine="375"/>
              <w:jc w:val="right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15"/>
                <w:szCs w:val="15"/>
                <w:rtl w:val="0"/>
              </w:rPr>
              <w:t xml:space="preserve">Հավելված N 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ind w:right="168" w:firstLine="375"/>
              <w:jc w:val="right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15"/>
                <w:szCs w:val="15"/>
                <w:rtl w:val="0"/>
              </w:rPr>
              <w:t xml:space="preserve">ՀՀ կառավարության 2006 թվականի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right="168" w:firstLine="375"/>
              <w:jc w:val="right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15"/>
                <w:szCs w:val="15"/>
                <w:rtl w:val="0"/>
              </w:rPr>
              <w:t xml:space="preserve">նոյեմբերի 16-ի N 1708-Ն որոշման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hd w:fill="ffffff" w:val="clear"/>
        <w:spacing w:after="0" w:line="240" w:lineRule="auto"/>
        <w:ind w:right="168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ind w:right="168"/>
        <w:jc w:val="right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u w:val="single"/>
          <w:rtl w:val="0"/>
        </w:rPr>
        <w:t xml:space="preserve">Ձև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Հ Ա Յ 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Հայաստանի Հանրապետության համայնքների տնտեսական և սոցիալական ենթակառուցվածքների զարգացմանն ուղղված սուբվենցիաների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2"/>
        <w:tblW w:w="10920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4005"/>
        <w:gridCol w:w="105"/>
        <w:gridCol w:w="6810"/>
        <w:tblGridChange w:id="0">
          <w:tblGrid>
            <w:gridCol w:w="4005"/>
            <w:gridCol w:w="105"/>
            <w:gridCol w:w="681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C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անվանումը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0E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ՀՀ Լոռու մարզի Տաշիր համայնքի բնակավայրերի միջբնակավայրերի և ներբնակավայրային ճանապարհների  ասֆալտապատում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F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Մարզ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1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Լոռի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2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Համայնքը /համայնքները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4">
            <w:pPr>
              <w:widowControl w:val="0"/>
              <w:tabs>
                <w:tab w:val="left" w:leader="none" w:pos="4933"/>
              </w:tabs>
              <w:spacing w:before="13" w:lineRule="auto"/>
              <w:ind w:left="20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Համայնքը՝ Տաշիր,</w:t>
            </w:r>
          </w:p>
          <w:p w:rsidR="00000000" w:rsidDel="00000000" w:rsidP="00000000" w:rsidRDefault="00000000" w:rsidRPr="00000000" w14:paraId="00000015">
            <w:pPr>
              <w:widowControl w:val="0"/>
              <w:tabs>
                <w:tab w:val="left" w:leader="none" w:pos="4933"/>
              </w:tabs>
              <w:spacing w:before="13" w:lineRule="auto"/>
              <w:ind w:left="20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Մասնակից բնակավայրերը՝ Ապավեն և  Տաշիր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6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/բնակավայրի հեռավորությունը մայրաքաղաք Երևանից, ինչպես նաև մարզկենտրոնից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</w:t>
              <w:tab/>
              <w:t xml:space="preserve">հեռավորությունը</w:t>
            </w:r>
          </w:p>
          <w:p w:rsidR="00000000" w:rsidDel="00000000" w:rsidP="00000000" w:rsidRDefault="00000000" w:rsidRPr="00000000" w14:paraId="00000019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մայրաքաղաքից՝ 161/ 174 / 145 կմ է,</w:t>
            </w:r>
          </w:p>
          <w:p w:rsidR="00000000" w:rsidDel="00000000" w:rsidP="00000000" w:rsidRDefault="00000000" w:rsidRPr="00000000" w14:paraId="0000001A">
            <w:pPr>
              <w:ind w:right="90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մարզկենտրոնից ՝ 52/ 73 / 44 կմ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B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/բնակավայրի բնակչությունը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D">
            <w:pPr>
              <w:widowControl w:val="0"/>
              <w:tabs>
                <w:tab w:val="left" w:leader="none" w:pos="1730"/>
                <w:tab w:val="left" w:leader="none" w:pos="3444"/>
                <w:tab w:val="left" w:leader="none" w:pos="4745"/>
                <w:tab w:val="left" w:leader="none" w:pos="6042"/>
              </w:tabs>
              <w:spacing w:before="13" w:line="278.00000000000006" w:lineRule="auto"/>
              <w:ind w:left="54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համայնքի՝ 30408 մարդ,</w:t>
            </w:r>
          </w:p>
          <w:p w:rsidR="00000000" w:rsidDel="00000000" w:rsidP="00000000" w:rsidRDefault="00000000" w:rsidRPr="00000000" w14:paraId="0000001E">
            <w:pPr>
              <w:widowControl w:val="0"/>
              <w:tabs>
                <w:tab w:val="left" w:leader="none" w:pos="1730"/>
                <w:tab w:val="left" w:leader="none" w:pos="3444"/>
                <w:tab w:val="left" w:leader="none" w:pos="4745"/>
                <w:tab w:val="left" w:leader="none" w:pos="6042"/>
              </w:tabs>
              <w:spacing w:before="13" w:line="278.00000000000006" w:lineRule="auto"/>
              <w:ind w:left="54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Բնակավայրերը․</w:t>
            </w:r>
          </w:p>
          <w:p w:rsidR="00000000" w:rsidDel="00000000" w:rsidP="00000000" w:rsidRDefault="00000000" w:rsidRPr="00000000" w14:paraId="0000001F">
            <w:pPr>
              <w:widowControl w:val="0"/>
              <w:tabs>
                <w:tab w:val="left" w:leader="none" w:pos="1730"/>
                <w:tab w:val="left" w:leader="none" w:pos="3444"/>
                <w:tab w:val="left" w:leader="none" w:pos="4745"/>
                <w:tab w:val="left" w:leader="none" w:pos="6042"/>
              </w:tabs>
              <w:spacing w:before="13" w:line="278.00000000000006" w:lineRule="auto"/>
              <w:ind w:left="54" w:right="90" w:firstLine="0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Ապավեն՝ 172 և Տաշիր՝ 12593 մարդ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0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Սահմանամերձ համայնք/բնակավայր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2">
            <w:pPr>
              <w:ind w:right="168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Ապավեն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3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Բարձր լեռնային համայնք /բնակավայրի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5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Ոչ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6" w:right="168" w:firstLine="0"/>
              <w:rPr>
                <w:rFonts w:ascii="GHEA Grapalat" w:cs="GHEA Grapalat" w:eastAsia="GHEA Grapalat" w:hAnsi="GHEA Grapalat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rtl w:val="0"/>
              </w:rPr>
              <w:t xml:space="preserve">Համայնքի գլխավոր հատակագծի առկայություն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8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Այո</w:t>
            </w:r>
          </w:p>
          <w:p w:rsidR="00000000" w:rsidDel="00000000" w:rsidP="00000000" w:rsidRDefault="00000000" w:rsidRPr="00000000" w14:paraId="00000029">
            <w:pPr>
              <w:ind w:right="90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23/05/2024թ․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A">
            <w:pPr>
              <w:spacing w:after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բնակավայրի ենթակառուցվածքների վերաբերյալ հակիրճ տեղեկատվություն</w:t>
            </w:r>
            <w:r w:rsidDel="00000000" w:rsidR="00000000" w:rsidRPr="00000000">
              <w:rPr>
                <w:rFonts w:ascii="GHEA Grapalat" w:cs="GHEA Grapalat" w:eastAsia="GHEA Grapalat" w:hAnsi="GHEA Grapalat"/>
                <w:color w:val="000000"/>
                <w:sz w:val="21"/>
                <w:szCs w:val="21"/>
                <w:rtl w:val="0"/>
              </w:rPr>
              <w:t xml:space="preserve">՝</w:t>
            </w:r>
            <w:r w:rsidDel="00000000" w:rsidR="00000000" w:rsidRPr="00000000">
              <w:rPr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հստակ նշելով՝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ջրամատակարարման և ջրահեռացման համակարգից օգտվող համայնքի բնակչության տոկոսը և ջրամատակարարման տևողությունը,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գազամատակարարման համակարգից օգտվող համայնքի բնակչության տոկոսը,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ոռոգման համակարգից օգտվող բնակչության տոկոսը և համայնքում գյուղատնտեսական հողերից ոռոգվող հողատարածքների տոկոսը,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լուսավորության համակարգի առկայությամբ փողոցների տոկոսը՝ համայնքի ընդհանուր փողոցների մեջ և նշել էներգախնայող և ԼԵԴ լուսավորություն է, թե ոչ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F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-Ջրամատակարարման և ջրահեռացման համակարգ․</w:t>
            </w:r>
          </w:p>
          <w:p w:rsidR="00000000" w:rsidDel="00000000" w:rsidP="00000000" w:rsidRDefault="00000000" w:rsidRPr="00000000" w14:paraId="00000030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համայնքում  ջրամատակարարման համակարգը հասանելի է բնակչության 98,5%-ին։ Բացի Տաշիր (35%) և Մեծավան բնակավայրերից (10%), մյուս՝ 22 բնակավայրում բացակայում է ջրահեռացումը։ </w:t>
            </w:r>
          </w:p>
          <w:p w:rsidR="00000000" w:rsidDel="00000000" w:rsidP="00000000" w:rsidRDefault="00000000" w:rsidRPr="00000000" w14:paraId="00000032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Բնակավայրերում․</w:t>
            </w:r>
          </w:p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3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Ապավեն բնակավայրում ջրամատակարարման համակարգը հասանելի է բնակչության 100%-ին: Բնակավայրում բացակայում է ջրահեռացումը։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3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բնակավայրում ջրամատակարարման համակարգը հասանելի է բնակչության 100%-ին։ Ջրամատակարարման տևողությունը շուրջօրյա է։ Բնակավայրում ջրահեռացումը հասանելի է բնակչության 35%-ին:</w:t>
            </w:r>
          </w:p>
          <w:p w:rsidR="00000000" w:rsidDel="00000000" w:rsidP="00000000" w:rsidRDefault="00000000" w:rsidRPr="00000000" w14:paraId="00000035">
            <w:pPr>
              <w:spacing w:after="280"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-Գազամատակարարման համակարգ</w:t>
            </w:r>
          </w:p>
          <w:p w:rsidR="00000000" w:rsidDel="00000000" w:rsidP="00000000" w:rsidRDefault="00000000" w:rsidRPr="00000000" w14:paraId="00000036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համայնքում գազամատակարարմամբ ապահովված է համայնքի բնակավայրերի 48,8%-ը։</w:t>
            </w:r>
          </w:p>
          <w:p w:rsidR="00000000" w:rsidDel="00000000" w:rsidP="00000000" w:rsidRDefault="00000000" w:rsidRPr="00000000" w14:paraId="00000037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Բնակավայրերը․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7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Ապավեն բնակավայրի գազաֆիկացման շինարարական աշխատանքները ավարտվել են, բնակիչների տները գազաֆիկացումը հասանելի կլինի 2026թ․-ին։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7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բնակավայրում գազամատակարարումը հասանելի է բնակչության 100%-ին:</w:t>
            </w:r>
          </w:p>
          <w:p w:rsidR="00000000" w:rsidDel="00000000" w:rsidP="00000000" w:rsidRDefault="00000000" w:rsidRPr="00000000" w14:paraId="0000003A">
            <w:pPr>
              <w:spacing w:after="280"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 Ոռոգման համակարգ</w:t>
            </w:r>
          </w:p>
          <w:p w:rsidR="00000000" w:rsidDel="00000000" w:rsidP="00000000" w:rsidRDefault="00000000" w:rsidRPr="00000000" w14:paraId="0000003B">
            <w:pPr>
              <w:spacing w:after="280"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համայնքի հողերը անջրդի են։</w:t>
            </w:r>
          </w:p>
          <w:p w:rsidR="00000000" w:rsidDel="00000000" w:rsidP="00000000" w:rsidRDefault="00000000" w:rsidRPr="00000000" w14:paraId="0000003C">
            <w:pPr>
              <w:spacing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-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Լուսավորության համակարգ</w:t>
            </w:r>
          </w:p>
          <w:p w:rsidR="00000000" w:rsidDel="00000000" w:rsidP="00000000" w:rsidRDefault="00000000" w:rsidRPr="00000000" w14:paraId="0000003D">
            <w:pPr>
              <w:widowControl w:val="0"/>
              <w:spacing w:before="280" w:line="24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համայնքը ապահովված է լուսավորության համակարգով: Բնակավայրերի գիշերային լուսավորությունը կազմում է 78.6%։ 15 բնակավայրի լուսատուները ԼԵԴ և էներգախնայող են։ Բնակավայրերը․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4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Ապավեն բնակավայրը ապահովված է լուսավորության համակարգով: Բնակավայրի գիշերային լուսավորությունը կազմում է 80%, բոլոր լուսատուները ԼԵԴ են։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4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բնակավայրը ապահովված է լուսավորության համակարգով: Բնակավայրի գիշերային լուսավորությունը կազմում է 95%, բոլորը ԼԵԴ և էներգախնայող լուսատուներ են։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41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ընդհանուր նկարագրությունը և դրա իրականացման անհրաժեշտությունը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Տաշիր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համայնքի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բնակավայրում ներհամայնքային ասֆալտա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պատ ճանապարհների հիմնական հատվածը գերմաշված է և ենթակա է վերանորոգման։</w:t>
            </w:r>
          </w:p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Այս ծրագրով նախատեսվում է ասֆալտապատել և բարեկարգել․</w:t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  <w:u w:val="no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բնակավայրում՝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144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Անի բնակելի զանգվածի ամբողջ տարածքը՝ 2,2 կմ,14800 քմ,</w:t>
            </w:r>
          </w:p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144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Սայաթ-Նովա փողոցը՝ 0-ից 1359մ, 9511,30 քմ,</w:t>
            </w:r>
          </w:p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144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Դաշտադեմ տանող փողոց՝ 473,17մ հատվածը (սկիզբը Մ-3-ից), 2192,23 քմ</w:t>
            </w:r>
          </w:p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144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Վան բ/զ փողոց տանող հատված 370մ (սկիզբը Մ-3-ից), 2590 քմ</w:t>
            </w:r>
          </w:p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144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Կ.Դեմիրճյան փողոց՝ 0-ից 752մ, 5282,25քմ,  ասֆալտապատում և այգու հարևանությամբ՝ մայթի 191մ, 363,74 քմ, հատվածի բրեչկա տեսակի սալարկում եւ հիմնային հատվածի վերականգնում, </w:t>
            </w:r>
          </w:p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144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Վ.Սարգսյան փողոց՝ (Խ.Աբովյան եւ Վ.Սարգսյան հատված) 239մ, 1709,13 քմ,</w:t>
            </w:r>
          </w:p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144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Գետափնյա փ․՝ 1 կմ, 8000 քմ</w:t>
            </w:r>
          </w:p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  <w:u w:val="no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Ապավեն բնակավայրում՝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144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Ապավեն բնակավայր տանող (սկիզբ) ճանապարհ՝ 204 մ, 1096,45 քմ։</w:t>
            </w:r>
          </w:p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Ներկայացված բնակավայրերի ասֆալտապատվող հատվածները ունեն առաջնային նշանակություն տվյալ բնակավայրերի համար:</w:t>
            </w:r>
          </w:p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Կատարվող ծրագիրը կապիտալ բնույթի է: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51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ակնկալվող արդյունքները, որոնց միջոցով պետք է հասնել ծրագրի իրականացման նպատակին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Ծրագիրը համահունչ է Տաշիր համայնքի 2023-2027թ. հնգամյա զարգացման ռազմավարությանը, որտեղ որպես գերակա խնդիրներ են նշվել ճանապարհների գերմաշվածությունը, մայթերի և ներհամայնքային ճանապարհների  անանցանելիությունը: Այս խնդիրների լուծմանն է ուղղված ծրագրով նախատեսված աշխատանքների իրականացումը, ինչի ավարտից հետո կհասնենք ծրագրի իրականացման նպատակին՝ այն է.     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6"/>
              </w:numPr>
              <w:spacing w:before="280" w:line="240" w:lineRule="auto"/>
              <w:ind w:left="88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Բնակավայրի համար կարևոր նշանակության ճանապարհի ասֆալտապատումից հետո երկար տարիների շահագործում,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6"/>
              </w:numPr>
              <w:spacing w:line="240" w:lineRule="auto"/>
              <w:ind w:left="88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Ասֆալտապատված ճանապարհով   երթևեկող բնակիչներին հարմարավետ և բարեկարգ    ճանապարհով ապահովում,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6"/>
              </w:numPr>
              <w:spacing w:line="240" w:lineRule="auto"/>
              <w:ind w:left="88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Ճանապարհից օգտվող վարորդներին և հետիոտներին բարեկարգ, անվտանգ ճանապարհային հատվածով ապահովում,</w:t>
            </w:r>
          </w:p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6"/>
              </w:numPr>
              <w:spacing w:line="240" w:lineRule="auto"/>
              <w:ind w:left="885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բնակիչների ֆինանսական միջոցների խնայում (մեքենաների վերանորոգման վրա կատարվող ծախսերը)։</w:t>
            </w:r>
          </w:p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ավարտին կունենանք ասֆալտապատված և բարեկարգված փողոցներ․.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1"/>
              </w:numPr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բնակավայրում՝ </w:t>
            </w:r>
          </w:p>
          <w:p w:rsidR="00000000" w:rsidDel="00000000" w:rsidP="00000000" w:rsidRDefault="00000000" w:rsidRPr="00000000" w14:paraId="00000059">
            <w:pPr>
              <w:widowControl w:val="0"/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144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Անի բնակելի զանգվածի ամբողջ տարածքը՝ 2,2 կմ,14800 քմ,</w:t>
            </w:r>
          </w:p>
          <w:p w:rsidR="00000000" w:rsidDel="00000000" w:rsidP="00000000" w:rsidRDefault="00000000" w:rsidRPr="00000000" w14:paraId="0000005A">
            <w:pPr>
              <w:widowControl w:val="0"/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144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Սայաթ-Նովա փողոցը՝ 0-ից 1359մ, 9511,30 քմ,</w:t>
            </w:r>
          </w:p>
          <w:p w:rsidR="00000000" w:rsidDel="00000000" w:rsidP="00000000" w:rsidRDefault="00000000" w:rsidRPr="00000000" w14:paraId="0000005B">
            <w:pPr>
              <w:widowControl w:val="0"/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144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Դաշտադեմ տանող փողոց՝ 473,17մ հատվածը (սկիզբը Մ-3-ից), 2192,23 քմ</w:t>
            </w:r>
          </w:p>
          <w:p w:rsidR="00000000" w:rsidDel="00000000" w:rsidP="00000000" w:rsidRDefault="00000000" w:rsidRPr="00000000" w14:paraId="0000005C">
            <w:pPr>
              <w:widowControl w:val="0"/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144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Վան բ/զ փողոց տանող հատված 370մ (սկիզբը Մ-3-ից), 2590 քմ</w:t>
            </w:r>
          </w:p>
          <w:p w:rsidR="00000000" w:rsidDel="00000000" w:rsidP="00000000" w:rsidRDefault="00000000" w:rsidRPr="00000000" w14:paraId="0000005D">
            <w:pPr>
              <w:widowControl w:val="0"/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144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Կ.Դեմիրճյան փողոց՝ 0-ից 752մ, 5282,25քմ,  ասֆալտապատում և այգու հարևանությամբ՝ մայթի 191մ, 363,74 քմ, հատվածի բրեչկա տեսակի սալարկում եւ հիմնային հատվածի վերականգնում, </w:t>
            </w:r>
          </w:p>
          <w:p w:rsidR="00000000" w:rsidDel="00000000" w:rsidP="00000000" w:rsidRDefault="00000000" w:rsidRPr="00000000" w14:paraId="0000005E">
            <w:pPr>
              <w:widowControl w:val="0"/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144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Վ.Սարգսյան փողոց՝ (Խ.Աբովյան եւ Վ.Սարգսյան հատված) 239մ, 1709,13 քմ,</w:t>
            </w:r>
          </w:p>
          <w:p w:rsidR="00000000" w:rsidDel="00000000" w:rsidP="00000000" w:rsidRDefault="00000000" w:rsidRPr="00000000" w14:paraId="0000005F">
            <w:pPr>
              <w:widowControl w:val="0"/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144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Գետափնյա փ․՝ 1 կմ, 8000 քմ</w:t>
            </w:r>
          </w:p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2"/>
              </w:numPr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Ապավեն բնակավայրում՝</w:t>
            </w:r>
          </w:p>
          <w:p w:rsidR="00000000" w:rsidDel="00000000" w:rsidP="00000000" w:rsidRDefault="00000000" w:rsidRPr="00000000" w14:paraId="00000061">
            <w:pPr>
              <w:widowControl w:val="0"/>
              <w:tabs>
                <w:tab w:val="left" w:leader="none" w:pos="4112"/>
                <w:tab w:val="left" w:leader="none" w:pos="7140"/>
              </w:tabs>
              <w:spacing w:before="18" w:line="276" w:lineRule="auto"/>
              <w:ind w:left="144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Ապավեն բնակավայր տանող (սկիզբ) ճանապարհ՝ 204 մ, 1096,45 քմ։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63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արդյունքներին հասնելու գործողությունները և միջոցառումները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4">
            <w:pPr>
              <w:widowControl w:val="0"/>
              <w:spacing w:before="13" w:line="278.00000000000006" w:lineRule="auto"/>
              <w:ind w:left="3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արդյունքին հասնելու համար նախատեսվում է իրականացնել հետևյալ գործողությունները․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50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2026 թվականի ՏԱՊ-ում ծրագրի ներառում, համայնքի բյուջեում՝ ֆինանսական միջոցների նախատեսում / 846626.275  հազ․ ՀՀ դրամ // 2026թ․-ի հունվար/,  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50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ՀՀ պետական բյուջեից նպատակային հատկացումների` սուբվենցիաների ստացում / 846626.275 հազ․ ՀՀ դրամ // մինչև ծրագրի ավարտ/, </w:t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8"/>
              </w:numPr>
              <w:ind w:left="750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Գնումների մասին ՀՀ Օրենքին,  գնումների հետ կապված ՀՀ Կառավարության որոշումներին և օրենսդրական այլ ակտերին համապատասխան գնման աշխատանքների պատվիրում՝ 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4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Նախագծանախահաշվարկային փաստաթղթերի / 5547,3 հազ. ՀՀ դրամ /,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4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Նախագծանախահաշվային փաստաթղթերի    պետական փորձաքննության պատվիրում, 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50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Մրցույթում հաղթող կապալառու կազմակերպության հետ պայմանագրի կնքում, 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50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տեխնիկական հսկողություն / 18757,32 հազ․ ՀՀ դրամ // ծրագրի աշխատանքների մեկնարկից մինչև ծրագրի ավարտ/,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50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հեղինակային հսկողություն / 7368,6 հազ․ ՀՀ դրամ // ծրագրի աշխատանքների մեկնարկից մինչև ծրագրի ավարտ/,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50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Շինարարության աշխատանքների կազմակերպում / 1650000․0 հազ. ՀՀ դրամ // մինչև կապալառուի հետ կնքվող կապալային պայմանագրով նախատեսված ժամկետի ավարտ/,</w:t>
            </w:r>
          </w:p>
          <w:p w:rsidR="00000000" w:rsidDel="00000000" w:rsidP="00000000" w:rsidRDefault="00000000" w:rsidRPr="00000000" w14:paraId="0000006E">
            <w:pPr>
              <w:widowControl w:val="0"/>
              <w:numPr>
                <w:ilvl w:val="0"/>
                <w:numId w:val="8"/>
              </w:numPr>
              <w:tabs>
                <w:tab w:val="left" w:leader="none" w:pos="751"/>
                <w:tab w:val="left" w:leader="none" w:pos="4275"/>
              </w:tabs>
              <w:spacing w:line="276" w:lineRule="auto"/>
              <w:ind w:left="75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աշխատանքների ավարտից հետո շինարարական կազմակերպության,</w:t>
              <w:tab/>
              <w:t xml:space="preserve">համայնքապետարանի, տեխնիկական, հեղինակային վերահսկողների և նախագիծը կազմողների միջև կիրականացվեն հանձման-ընդունման աշխատանքներ: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0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իրականացման արդյունքում համայնքին սեփականության իրավունքով պատկանող հիմնական միջոցների արժեքի ավելացում բացառությամբ բազմաբնակարան շենքերի ընդհանուր բաժնային սեփականության գույքի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280" w:lineRule="auto"/>
              <w:ind w:right="83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արդյունքում համայնքի հիմնական միջոցների արժեքը կավելանա </w:t>
            </w:r>
            <w:r w:rsidDel="00000000" w:rsidR="00000000" w:rsidRPr="00000000">
              <w:rPr>
                <w:rtl w:val="0"/>
              </w:rPr>
              <w:t xml:space="preserve">1693252.550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 հազ․ ՀՀ դրամով:</w:t>
            </w:r>
          </w:p>
          <w:p w:rsidR="00000000" w:rsidDel="00000000" w:rsidP="00000000" w:rsidRDefault="00000000" w:rsidRPr="00000000" w14:paraId="00000072">
            <w:pPr>
              <w:spacing w:after="200" w:before="280" w:lineRule="auto"/>
              <w:ind w:right="83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Ծրագրով նախատեսվող ծախսերը կապիտալ բնույթի են և  կիրականացվեն Տաշիր համայնքի 2027թ. բյուջեի ֆոնդային մասով: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4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ազդեցությունը համայնքի և շահառուների վրա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հիմնական շահառուները Տաշիր համայնքի 30408 բնակիչներն են, մասնավորապես՝ Տաշիր և Ապավեն բնակավայրերի բնակիչները՝ 12765 մարդ։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line="256.8" w:lineRule="auto"/>
              <w:ind w:right="168"/>
              <w:jc w:val="both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և Ապավեն բնակավայրերի փողոցները բանուկ են ու առաջնային։ Տաշիր և Ապավեն բնակավայրերի ասֆալտապատվող հատվածի մոտակայքում են գտնվում դպրոցներ, նախադպրոցական կենտրոններ, կրպակներ, հանդիսությունների սրահ,  որտեղ աշխատողների և դրանց մատուցած ծառայություններից օգտվողների համար,  ծրագրի իրականացման դեպքում փողոցները կդառնան հարմարավետ, ապահով, անցանելի: Բացի այդ, բնակիչները կտնտեսեն ավտոմեքենաների վերանորոգման համար պարբերաբար  ծախսվող ֆինանսական միջոցները: Համայնքային ճանապարհների վերանորոգման արդյունքում կբարձրանա համայնքի գրավչությունը։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9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Նշել ծրագրի իրականացման ընթացքում ստեղծվող ժամանակավոր և հիմնական աշխատատեղերի քանակը և դրանց նկարագրությունը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A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իրականացման ընթացքում կստեղծվեն ժամանակավոր 35-40 աշխատատեղեր շինարարության ոլորտում՝ փողոցների ասֆալտապատման և փոսալցման աշխատանքները իրականացնելու համար: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C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Համայնքի նախորդ տարվա բյուջեն և բյուջեի կատարողականը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D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Նախորդ տարվա բյուջեն  3995931.4 դրամ.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Ներկայացնել նախորդ տարվա` 2026թ․ բյուջեն, ծախսերը և կատարողականը` առանձնացնելով բյուջեի վարչական և ֆոնդային մասերը, իսկ բյուջեի ֆոնդային մասից ծախսերը ներկայացնել առանձին բացվածքով: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80">
            <w:pPr>
              <w:ind w:right="168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rPr>
                <w:rFonts w:ascii="GHEA Grapalat" w:cs="GHEA Grapalat" w:eastAsia="GHEA Grapalat" w:hAnsi="GHEA Grapalat"/>
                <w:i w:val="1"/>
                <w:i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7335.0" w:type="dxa"/>
              <w:jc w:val="left"/>
              <w:tblBorders>
                <w:top w:color="000000" w:space="0" w:sz="6" w:val="single"/>
                <w:left w:color="000000" w:space="0" w:sz="6" w:val="single"/>
                <w:bottom w:color="000000" w:space="0" w:sz="6" w:val="single"/>
                <w:right w:color="000000" w:space="0" w:sz="6" w:val="single"/>
              </w:tblBorders>
              <w:tblLayout w:type="fixed"/>
              <w:tblLook w:val="0400"/>
            </w:tblPr>
            <w:tblGrid>
              <w:gridCol w:w="3405"/>
              <w:gridCol w:w="1275"/>
              <w:gridCol w:w="1410"/>
              <w:gridCol w:w="1245"/>
              <w:tblGridChange w:id="0">
                <w:tblGrid>
                  <w:gridCol w:w="3405"/>
                  <w:gridCol w:w="1275"/>
                  <w:gridCol w:w="1410"/>
                  <w:gridCol w:w="124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2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2026 թ.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3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Պլանը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4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Փաստացին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5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Տոկոսը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6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եկամուտները</w:t>
                    <w:br w:type="textWrapping"/>
                    <w:t xml:space="preserve">այդ թվում՝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7">
                  <w:pPr>
                    <w:widowControl w:val="0"/>
                    <w:spacing w:line="273" w:lineRule="auto"/>
                    <w:ind w:left="20" w:right="168" w:firstLine="0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3995931,4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2380628,9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59,6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A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-Վարչական բյուջեի եկամուտներ, որից՝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E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Սեփական եկամուտներ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361061,2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423235,4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117,2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2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եկամուտներ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2198756,4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440575,9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6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ծախսեր,</w:t>
                    <w:br w:type="textWrapping"/>
                    <w:t xml:space="preserve">որից՝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A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Վարչական բյուջեի ծախսեր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1797175,0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1049703,9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58,4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E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ծախսեր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3074506,7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1439119,1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46,8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2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Համայնքի ֆոնդային բյուջեի փաստացի ծախսերը,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որից՝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6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ճանապարհաշինություն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1401818,0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769256,2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54.9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A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ջրամատակարարում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256180,0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227349,6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88,7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E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փողոցային լուսավորություն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164877,0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2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Բնակարանային շինարարություն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190201,0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143833,6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75,6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6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Կեղտաջրերի հեռացում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6000,0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A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գյուղատնտեսություն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94300,8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51164,3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54,3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E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Ընդհ. բնույթի հանր. ծառայություններ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577830,4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208606,4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36,1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2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-մշակույթ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387359,0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32843,1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8,5</w:t>
                  </w:r>
                </w:p>
                <w:p w:rsidR="00000000" w:rsidDel="00000000" w:rsidP="00000000" w:rsidRDefault="00000000" w:rsidRPr="00000000" w14:paraId="000000C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7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-կրթություն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7441,0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5567,0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74,8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B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Շրջակա միջ. պաշտպանություն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8500,0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7665,0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90,2</w:t>
                  </w:r>
                </w:p>
              </w:tc>
            </w:tr>
          </w:tbl>
          <w:p w:rsidR="00000000" w:rsidDel="00000000" w:rsidP="00000000" w:rsidRDefault="00000000" w:rsidRPr="00000000" w14:paraId="000000CF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D2">
            <w:pPr>
              <w:ind w:right="168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Համայնքի</w:t>
            </w: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ընթացիկ տարվա</w:t>
            </w: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բյուջեն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D3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4131135,0 դրամ. </w:t>
            </w:r>
          </w:p>
          <w:p w:rsidR="00000000" w:rsidDel="00000000" w:rsidP="00000000" w:rsidRDefault="00000000" w:rsidRPr="00000000" w14:paraId="000000D4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Ներկայացնել ընթացիկ տարվա կանխատեսվող եկամուտները, պլանավորված ծախսերը` առանձնացնելով բյուջեի վարչական և ֆոնդային մասերը, իսկ բյուջեի ֆոնդային մասից պլանավորված ծախսերը ներկայացնել առանձին բացվածքով:</w:t>
            </w:r>
          </w:p>
          <w:tbl>
            <w:tblPr>
              <w:tblStyle w:val="Table4"/>
              <w:tblW w:w="7110.0" w:type="dxa"/>
              <w:jc w:val="left"/>
              <w:tblInd w:w="15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5640"/>
              <w:gridCol w:w="1470"/>
              <w:tblGridChange w:id="0">
                <w:tblGrid>
                  <w:gridCol w:w="5640"/>
                  <w:gridCol w:w="147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5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2027թ.</w:t>
                  </w:r>
                </w:p>
              </w:tc>
              <w:tc>
                <w:tcPr/>
                <w:p w:rsidR="00000000" w:rsidDel="00000000" w:rsidP="00000000" w:rsidRDefault="00000000" w:rsidRPr="00000000" w14:paraId="000000D6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Պլանը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7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եկամուտների պլանավորում,այդ թվում՝</w:t>
                  </w:r>
                </w:p>
              </w:tc>
              <w:tc>
                <w:tcPr/>
                <w:p w:rsidR="00000000" w:rsidDel="00000000" w:rsidP="00000000" w:rsidRDefault="00000000" w:rsidRPr="00000000" w14:paraId="000000D8">
                  <w:pPr>
                    <w:ind w:right="168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4131135,0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9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Վարչական բյուջեի եկամուտներ,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0D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B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սեփական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0D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389154,0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D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Ֆոնդային բյուջեի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0D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2120710,0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F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ծախսեր,որից՝</w:t>
                  </w:r>
                </w:p>
              </w:tc>
              <w:tc>
                <w:tcPr/>
                <w:p w:rsidR="00000000" w:rsidDel="00000000" w:rsidP="00000000" w:rsidRDefault="00000000" w:rsidRPr="00000000" w14:paraId="000000E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5225303,5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1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Վարչական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0E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3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0E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3214878,5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5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Համայնքի ֆոնդային բյուջեի պլանավորված ծախսերը,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0E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7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--ընդհանուր բնույթի հանրային ծառայություններ</w:t>
                  </w:r>
                </w:p>
              </w:tc>
              <w:tc>
                <w:tcPr/>
                <w:p w:rsidR="00000000" w:rsidDel="00000000" w:rsidP="00000000" w:rsidRDefault="00000000" w:rsidRPr="00000000" w14:paraId="000000E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9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-նավթամթերք և բնական գազ</w:t>
                  </w:r>
                </w:p>
              </w:tc>
              <w:tc>
                <w:tcPr/>
                <w:p w:rsidR="00000000" w:rsidDel="00000000" w:rsidP="00000000" w:rsidRDefault="00000000" w:rsidRPr="00000000" w14:paraId="000000E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B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-գյուղատնտեսություն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E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D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-ճանապարհային տրանսպորտ</w:t>
                  </w:r>
                </w:p>
              </w:tc>
              <w:tc>
                <w:tcPr/>
                <w:p w:rsidR="00000000" w:rsidDel="00000000" w:rsidP="00000000" w:rsidRDefault="00000000" w:rsidRPr="00000000" w14:paraId="000000E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1184360,0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F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Կեղտաջրերի հեռացում</w:t>
                  </w:r>
                </w:p>
              </w:tc>
              <w:tc>
                <w:tcPr/>
                <w:p w:rsidR="00000000" w:rsidDel="00000000" w:rsidP="00000000" w:rsidRDefault="00000000" w:rsidRPr="00000000" w14:paraId="000000F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1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Շրջակա միջավայրի պահպանություն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F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9000,0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3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Բնակարանային շինարարություն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F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5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ջրամատակարարում</w:t>
                  </w:r>
                </w:p>
              </w:tc>
              <w:tc>
                <w:tcPr/>
                <w:p w:rsidR="00000000" w:rsidDel="00000000" w:rsidP="00000000" w:rsidRDefault="00000000" w:rsidRPr="00000000" w14:paraId="000000F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131226,0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7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Փողոցների լուսավորություն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F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103724,0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9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-մշակույթ</w:t>
                  </w:r>
                </w:p>
              </w:tc>
              <w:tc>
                <w:tcPr/>
                <w:p w:rsidR="00000000" w:rsidDel="00000000" w:rsidP="00000000" w:rsidRDefault="00000000" w:rsidRPr="00000000" w14:paraId="000000F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B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-կրթություն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F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1744568,6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D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-հողի օտարումից մուտքեր</w:t>
                  </w:r>
                </w:p>
              </w:tc>
              <w:tc>
                <w:tcPr/>
                <w:p w:rsidR="00000000" w:rsidDel="00000000" w:rsidP="00000000" w:rsidRDefault="00000000" w:rsidRPr="00000000" w14:paraId="000000F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15000,0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F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Այլ հիմնական միջոցների օտար</w:t>
                  </w:r>
                </w:p>
              </w:tc>
              <w:tc>
                <w:tcPr/>
                <w:p w:rsidR="00000000" w:rsidDel="00000000" w:rsidP="00000000" w:rsidRDefault="00000000" w:rsidRPr="00000000" w14:paraId="0000010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5000,0</w:t>
                  </w:r>
                </w:p>
              </w:tc>
            </w:tr>
          </w:tbl>
          <w:p w:rsidR="00000000" w:rsidDel="00000000" w:rsidP="00000000" w:rsidRDefault="00000000" w:rsidRPr="00000000" w14:paraId="00000101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03">
            <w:pPr>
              <w:ind w:right="168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Համայնքի միջնաժամկետ ծախսերի ծրագիրը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76" w:lineRule="auto"/>
              <w:ind w:left="14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Հաստատված միջնաժամկետ ծախսերի ծրագրով սուբվենցիոն ծրագրի իրականացման տարվա բյուջեն ` 5225303,5 դրամ։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06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76" w:lineRule="auto"/>
              <w:ind w:left="14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Հաստատված միջնաժամկետ ծախսերի ծրագրով                                   սուբվենցիոն ծրագրի իրականացման տարվան հաջորդող տարվա բյուջեն` 33272453,0 դրամ: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09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0A">
            <w:pPr>
              <w:widowControl w:val="0"/>
              <w:spacing w:before="8" w:line="276" w:lineRule="auto"/>
              <w:ind w:left="14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Ներկայացնել ծրագրի իրականացման և իրականացման տարվան հաջորդող տարվա միջնաժամկետ ծախսերի ծրագրով նախատեված եկամուտները և ծախսերը` առանձնացնելով բյուջեի վարչական և ֆոնդային մասերը, իսկ բյուջեի ֆոնդային մասից նախատեսված ծախսերը ներկայացնել առանձին բացվածքով.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0C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Համայնքի ծրագրի իրականացման տարվա միջնաժամակետ ծախսերի ծրագրով նախատեսված բյուջետային մուտքերի (ներառյալ՝ ֆինանսական համահարթեցման դոտացիայի գծով նախատեսված մուտքերը) հաշվին նշված ծրագրի իրականացման անհնարինության հիմնավորումը (համապատասխան հաշվարկներով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0D">
            <w:pPr>
              <w:widowControl w:val="0"/>
              <w:spacing w:line="276" w:lineRule="auto"/>
              <w:rPr>
                <w:rFonts w:ascii="GHEA Grapalat" w:cs="GHEA Grapalat" w:eastAsia="GHEA Grapalat" w:hAnsi="GHEA Grapalat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6765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25"/>
              <w:gridCol w:w="1845"/>
              <w:gridCol w:w="1695"/>
              <w:tblGridChange w:id="0">
                <w:tblGrid>
                  <w:gridCol w:w="3225"/>
                  <w:gridCol w:w="1845"/>
                  <w:gridCol w:w="169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0E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2027թ</w:t>
                  </w:r>
                </w:p>
              </w:tc>
              <w:tc>
                <w:tcPr/>
                <w:p w:rsidR="00000000" w:rsidDel="00000000" w:rsidP="00000000" w:rsidRDefault="00000000" w:rsidRPr="00000000" w14:paraId="0000010F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իրականացման տարի 2027թ.</w:t>
                  </w:r>
                </w:p>
              </w:tc>
              <w:tc>
                <w:tcPr/>
                <w:p w:rsidR="00000000" w:rsidDel="00000000" w:rsidP="00000000" w:rsidRDefault="00000000" w:rsidRPr="00000000" w14:paraId="00000110">
                  <w:pPr>
                    <w:widowControl w:val="0"/>
                    <w:spacing w:before="12" w:line="273" w:lineRule="auto"/>
                    <w:ind w:left="18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իրականացման տարվան հաջորդող</w:t>
                  </w:r>
                </w:p>
                <w:p w:rsidR="00000000" w:rsidDel="00000000" w:rsidP="00000000" w:rsidRDefault="00000000" w:rsidRPr="00000000" w14:paraId="00000111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տարի 2028թ.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2">
                  <w:pPr>
                    <w:widowControl w:val="0"/>
                    <w:spacing w:before="3" w:line="271" w:lineRule="auto"/>
                    <w:ind w:left="34" w:right="60" w:firstLine="0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եկամուտներ՝ ըստ հաստատված միջնաժամկետ ծախսերի ծրագրի,</w:t>
                  </w:r>
                </w:p>
                <w:p w:rsidR="00000000" w:rsidDel="00000000" w:rsidP="00000000" w:rsidRDefault="00000000" w:rsidRPr="00000000" w14:paraId="00000113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այդ թվում՝</w:t>
                  </w:r>
                </w:p>
              </w:tc>
              <w:tc>
                <w:tcPr/>
                <w:p w:rsidR="00000000" w:rsidDel="00000000" w:rsidP="00000000" w:rsidRDefault="00000000" w:rsidRPr="00000000" w14:paraId="00000114">
                  <w:pPr>
                    <w:ind w:right="168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4131135,0</w:t>
                  </w:r>
                </w:p>
              </w:tc>
              <w:tc>
                <w:tcPr/>
                <w:p w:rsidR="00000000" w:rsidDel="00000000" w:rsidP="00000000" w:rsidRDefault="00000000" w:rsidRPr="00000000" w14:paraId="00000115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2572453,0</w:t>
                  </w:r>
                </w:p>
                <w:p w:rsidR="00000000" w:rsidDel="00000000" w:rsidP="00000000" w:rsidRDefault="00000000" w:rsidRPr="00000000" w14:paraId="00000116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7">
                  <w:pPr>
                    <w:widowControl w:val="0"/>
                    <w:tabs>
                      <w:tab w:val="left" w:leader="none" w:pos="865"/>
                      <w:tab w:val="left" w:leader="none" w:pos="2767"/>
                    </w:tabs>
                    <w:spacing w:before="3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-Վարչական բյուջեի</w:t>
                  </w:r>
                </w:p>
                <w:p w:rsidR="00000000" w:rsidDel="00000000" w:rsidP="00000000" w:rsidRDefault="00000000" w:rsidRPr="00000000" w14:paraId="00000118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եկամուտներ,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11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  <w:tc>
                <w:tcPr/>
                <w:p w:rsidR="00000000" w:rsidDel="00000000" w:rsidP="00000000" w:rsidRDefault="00000000" w:rsidRPr="00000000" w14:paraId="0000011A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2203953,0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B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-Սեփական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11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389154,0</w:t>
                  </w:r>
                </w:p>
              </w:tc>
              <w:tc>
                <w:tcPr/>
                <w:p w:rsidR="00000000" w:rsidDel="00000000" w:rsidP="00000000" w:rsidRDefault="00000000" w:rsidRPr="00000000" w14:paraId="0000011D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399953,0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E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11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2120710,0</w:t>
                  </w:r>
                </w:p>
              </w:tc>
              <w:tc>
                <w:tcPr/>
                <w:p w:rsidR="00000000" w:rsidDel="00000000" w:rsidP="00000000" w:rsidRDefault="00000000" w:rsidRPr="00000000" w14:paraId="0000012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368500,0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1">
                  <w:pPr>
                    <w:widowControl w:val="0"/>
                    <w:spacing w:line="271" w:lineRule="auto"/>
                    <w:ind w:left="34" w:right="60" w:firstLine="0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ծախսեր, ըստ հաստատված միջնաժամկետ ծախսերի ծրագրի,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12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5225303,5</w:t>
                  </w:r>
                </w:p>
              </w:tc>
              <w:tc>
                <w:tcPr/>
                <w:p w:rsidR="00000000" w:rsidDel="00000000" w:rsidP="00000000" w:rsidRDefault="00000000" w:rsidRPr="00000000" w14:paraId="00000123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3272453,0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4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-Վարչական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12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  <w:tc>
                <w:tcPr/>
                <w:p w:rsidR="00000000" w:rsidDel="00000000" w:rsidP="00000000" w:rsidRDefault="00000000" w:rsidRPr="00000000" w14:paraId="00000126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2203953,0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7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Ֆոնդային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12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3214878,5</w:t>
                  </w:r>
                </w:p>
              </w:tc>
              <w:tc>
                <w:tcPr/>
                <w:p w:rsidR="00000000" w:rsidDel="00000000" w:rsidP="00000000" w:rsidRDefault="00000000" w:rsidRPr="00000000" w14:paraId="00000129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1068500,0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A">
                  <w:pPr>
                    <w:widowControl w:val="0"/>
                    <w:spacing w:line="271" w:lineRule="auto"/>
                    <w:ind w:left="34" w:right="60" w:firstLine="0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Համայնքի ֆոնդային բյուջեի ծախսերը՝ ըստ հաստատված միջնաժամկետ ծախսերի</w:t>
                  </w:r>
                </w:p>
                <w:p w:rsidR="00000000" w:rsidDel="00000000" w:rsidP="00000000" w:rsidRDefault="00000000" w:rsidRPr="00000000" w14:paraId="0000012B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ծրագրի,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12C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2D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E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-ընդհանուր բնույթի հանրային ծառայություններ</w:t>
                  </w:r>
                </w:p>
              </w:tc>
              <w:tc>
                <w:tcPr/>
                <w:p w:rsidR="00000000" w:rsidDel="00000000" w:rsidP="00000000" w:rsidRDefault="00000000" w:rsidRPr="00000000" w14:paraId="0000012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41000,0</w:t>
                  </w:r>
                </w:p>
              </w:tc>
              <w:tc>
                <w:tcPr/>
                <w:p w:rsidR="00000000" w:rsidDel="00000000" w:rsidP="00000000" w:rsidRDefault="00000000" w:rsidRPr="00000000" w14:paraId="0000013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531699,0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1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-գյուղատնտեսություն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32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21000.0</w:t>
                  </w:r>
                </w:p>
              </w:tc>
              <w:tc>
                <w:tcPr/>
                <w:p w:rsidR="00000000" w:rsidDel="00000000" w:rsidP="00000000" w:rsidRDefault="00000000" w:rsidRPr="00000000" w14:paraId="00000133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4">
                  <w:pPr>
                    <w:widowControl w:val="0"/>
                    <w:tabs>
                      <w:tab w:val="left" w:leader="none" w:pos="2344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Շրջակա միջավայրի</w:t>
                  </w:r>
                </w:p>
                <w:p w:rsidR="00000000" w:rsidDel="00000000" w:rsidP="00000000" w:rsidRDefault="00000000" w:rsidRPr="00000000" w14:paraId="00000135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պահպանություն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3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9000,0</w:t>
                  </w:r>
                </w:p>
              </w:tc>
              <w:tc>
                <w:tcPr/>
                <w:p w:rsidR="00000000" w:rsidDel="00000000" w:rsidP="00000000" w:rsidRDefault="00000000" w:rsidRPr="00000000" w14:paraId="00000137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24500.0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8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-ճանապարհաշինություն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39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1184360,0</w:t>
                  </w:r>
                </w:p>
              </w:tc>
              <w:tc>
                <w:tcPr/>
                <w:p w:rsidR="00000000" w:rsidDel="00000000" w:rsidP="00000000" w:rsidRDefault="00000000" w:rsidRPr="00000000" w14:paraId="0000013A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810000,0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B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ջրամատակարարում</w:t>
                  </w:r>
                </w:p>
              </w:tc>
              <w:tc>
                <w:tcPr/>
                <w:p w:rsidR="00000000" w:rsidDel="00000000" w:rsidP="00000000" w:rsidRDefault="00000000" w:rsidRPr="00000000" w14:paraId="0000013C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131226,0</w:t>
                  </w:r>
                </w:p>
              </w:tc>
              <w:tc>
                <w:tcPr/>
                <w:p w:rsidR="00000000" w:rsidDel="00000000" w:rsidP="00000000" w:rsidRDefault="00000000" w:rsidRPr="00000000" w14:paraId="0000013D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285000,0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E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փողոցային լուսավորություն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3F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103724,0</w:t>
                  </w:r>
                </w:p>
              </w:tc>
              <w:tc>
                <w:tcPr/>
                <w:p w:rsidR="00000000" w:rsidDel="00000000" w:rsidP="00000000" w:rsidRDefault="00000000" w:rsidRPr="00000000" w14:paraId="0000014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40000,0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1">
                  <w:pPr>
                    <w:widowControl w:val="0"/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-բնակարանային</w:t>
                  </w:r>
                </w:p>
                <w:p w:rsidR="00000000" w:rsidDel="00000000" w:rsidP="00000000" w:rsidRDefault="00000000" w:rsidRPr="00000000" w14:paraId="00000142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շինարարություն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43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  <w:tc>
                <w:tcPr/>
                <w:p w:rsidR="00000000" w:rsidDel="00000000" w:rsidP="00000000" w:rsidRDefault="00000000" w:rsidRPr="00000000" w14:paraId="00000144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473000,0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5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-մշակույթ</w:t>
                  </w:r>
                </w:p>
              </w:tc>
              <w:tc>
                <w:tcPr/>
                <w:p w:rsidR="00000000" w:rsidDel="00000000" w:rsidP="00000000" w:rsidRDefault="00000000" w:rsidRPr="00000000" w14:paraId="00000146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  <w:tc>
                <w:tcPr/>
                <w:p w:rsidR="00000000" w:rsidDel="00000000" w:rsidP="00000000" w:rsidRDefault="00000000" w:rsidRPr="00000000" w14:paraId="00000147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99500,0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8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-կրթություն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49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1744568,6</w:t>
                  </w:r>
                </w:p>
              </w:tc>
              <w:tc>
                <w:tcPr/>
                <w:p w:rsidR="00000000" w:rsidDel="00000000" w:rsidP="00000000" w:rsidRDefault="00000000" w:rsidRPr="00000000" w14:paraId="0000014A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259000,0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B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-հողի օտարումից մուտքեր</w:t>
                  </w:r>
                </w:p>
              </w:tc>
              <w:tc>
                <w:tcPr/>
                <w:p w:rsidR="00000000" w:rsidDel="00000000" w:rsidP="00000000" w:rsidRDefault="00000000" w:rsidRPr="00000000" w14:paraId="0000014C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15000</w:t>
                  </w:r>
                </w:p>
              </w:tc>
              <w:tc>
                <w:tcPr/>
                <w:p w:rsidR="00000000" w:rsidDel="00000000" w:rsidP="00000000" w:rsidRDefault="00000000" w:rsidRPr="00000000" w14:paraId="0000014D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15000.0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E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-այլ հիմնական միջոցների օտար</w:t>
                  </w:r>
                </w:p>
              </w:tc>
              <w:tc>
                <w:tcPr/>
                <w:p w:rsidR="00000000" w:rsidDel="00000000" w:rsidP="00000000" w:rsidRDefault="00000000" w:rsidRPr="00000000" w14:paraId="0000014F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5000,0</w:t>
                  </w:r>
                </w:p>
              </w:tc>
              <w:tc>
                <w:tcPr/>
                <w:p w:rsidR="00000000" w:rsidDel="00000000" w:rsidP="00000000" w:rsidRDefault="00000000" w:rsidRPr="00000000" w14:paraId="0000015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5000,0</w:t>
                  </w:r>
                </w:p>
              </w:tc>
            </w:tr>
          </w:tbl>
          <w:p w:rsidR="00000000" w:rsidDel="00000000" w:rsidP="00000000" w:rsidRDefault="00000000" w:rsidRPr="00000000" w14:paraId="00000151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53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  Հարկերի, տուրքերի և այլ վճարների հավաքագրում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54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Նախորդ տարվա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հարկերի, տուրքերի և այլ վճարների հավաքագրման մակարդակը  122 % է։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56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Համայնքի</w:t>
              <w:tab/>
              <w:t xml:space="preserve">ծրագրի իրականացման տարվա միջնաժամակետ</w:t>
              <w:tab/>
              <w:t xml:space="preserve">ծախսերի ծրագրով</w:t>
              <w:tab/>
              <w:t xml:space="preserve">նախատեսված բյուջետային</w:t>
              <w:tab/>
              <w:t xml:space="preserve">մուտքերի (ներառյալ՝</w:t>
              <w:tab/>
              <w:t xml:space="preserve">ֆինանսական</w:t>
            </w:r>
          </w:p>
          <w:p w:rsidR="00000000" w:rsidDel="00000000" w:rsidP="00000000" w:rsidRDefault="00000000" w:rsidRPr="00000000" w14:paraId="00000157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համահարթեցման դոտացիայի</w:t>
              <w:tab/>
              <w:t xml:space="preserve">գծով նախատեսված մուտքերը) հաշվին նշված ծրագրի իրականացման անհնարինության հիմնավորումը (համապատասխան հաշվարկ- ներով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58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2026թ-ի բյուջեի նախատեսված ընդհանուր մուտքերը կազմում է 4131135,0 դրամ, </w:t>
            </w:r>
          </w:p>
          <w:p w:rsidR="00000000" w:rsidDel="00000000" w:rsidP="00000000" w:rsidRDefault="00000000" w:rsidRPr="00000000" w14:paraId="00000159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որից վարչական բյուջեի մուտքեր` 2010425,0 դրամ,</w:t>
            </w:r>
          </w:p>
          <w:p w:rsidR="00000000" w:rsidDel="00000000" w:rsidP="00000000" w:rsidRDefault="00000000" w:rsidRPr="00000000" w14:paraId="0000015A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ներառյալ`</w:t>
            </w:r>
          </w:p>
          <w:p w:rsidR="00000000" w:rsidDel="00000000" w:rsidP="00000000" w:rsidRDefault="00000000" w:rsidRPr="00000000" w14:paraId="0000015B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ընդհանուր բնույթի հանրային ծառայություններ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41000,0 դրամ / իր մեջ ներառում է ապարատի պահպանման` աշխատավարձ, գործուղումներ, կոմունալ վճարումներ, կապ, տրանսպորտային նյութեր, համակարգչային ծառայություններ և այլ ծախսեր/,</w:t>
            </w:r>
          </w:p>
          <w:p w:rsidR="00000000" w:rsidDel="00000000" w:rsidP="00000000" w:rsidRDefault="00000000" w:rsidRPr="00000000" w14:paraId="0000015C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պաշտպանություն – 0,</w:t>
            </w:r>
          </w:p>
          <w:p w:rsidR="00000000" w:rsidDel="00000000" w:rsidP="00000000" w:rsidRDefault="00000000" w:rsidRPr="00000000" w14:paraId="0000015D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տնտեսական հարաբերություններ – 1194835,0  դրամ / իր մեջ ներառում է գյուղատնտեսության, տրանսպորտի</w:t>
              <w:tab/>
              <w:t xml:space="preserve">և ճանապահային բնագավառում  իրականացվելիք ծախսերը /,</w:t>
            </w:r>
          </w:p>
          <w:p w:rsidR="00000000" w:rsidDel="00000000" w:rsidP="00000000" w:rsidRDefault="00000000" w:rsidRPr="00000000" w14:paraId="0000015E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շրջակա միջավայրի պաշտպանություն – 255101,0  դրամ / իր մեջ ներառում է աղբահանության և սելավատարերի մաքրման, կեղտաջրերի հեռացման ծախսեր /,</w:t>
            </w:r>
          </w:p>
          <w:p w:rsidR="00000000" w:rsidDel="00000000" w:rsidP="00000000" w:rsidRDefault="00000000" w:rsidRPr="00000000" w14:paraId="0000015F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կոմունալ ծառայություն – 511950,0 դրամ / իր մեջ ներառում է ջրամատակարարման և լուսավորման ծառայություններ /</w:t>
            </w:r>
          </w:p>
          <w:p w:rsidR="00000000" w:rsidDel="00000000" w:rsidP="00000000" w:rsidRDefault="00000000" w:rsidRPr="00000000" w14:paraId="00000160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առողջապահություն – 0,</w:t>
            </w:r>
          </w:p>
          <w:p w:rsidR="00000000" w:rsidDel="00000000" w:rsidP="00000000" w:rsidRDefault="00000000" w:rsidRPr="00000000" w14:paraId="00000161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մշակույթ – 110300 դրամ / , ՀՈԱԿ-ի  պահպանման ծախսեր, ՀՈԱԿ-ում գործում է մշակույթի տուն և գրադարան/,</w:t>
            </w:r>
          </w:p>
          <w:p w:rsidR="00000000" w:rsidDel="00000000" w:rsidP="00000000" w:rsidRDefault="00000000" w:rsidRPr="00000000" w14:paraId="00000162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կրթություն – 2103868,8  դրամ /ներառում է նախադպրոցական և միջնակարգ կրթության բնագավառի ծախսեր/,</w:t>
            </w:r>
          </w:p>
          <w:p w:rsidR="00000000" w:rsidDel="00000000" w:rsidP="00000000" w:rsidRDefault="00000000" w:rsidRPr="00000000" w14:paraId="00000163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սոցիալական պաշտպանություն – 4500,0  դրամ / համայնքի սոցիալապես անապահով ընտանիքներին աջակցություն /,</w:t>
            </w:r>
          </w:p>
          <w:p w:rsidR="00000000" w:rsidDel="00000000" w:rsidP="00000000" w:rsidRDefault="00000000" w:rsidRPr="00000000" w14:paraId="00000164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պահուստային ֆոնդ` 395000,0  դրամ:</w:t>
            </w:r>
          </w:p>
          <w:p w:rsidR="00000000" w:rsidDel="00000000" w:rsidP="00000000" w:rsidRDefault="00000000" w:rsidRPr="00000000" w14:paraId="00000165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Նշված</w:t>
              <w:tab/>
              <w:t xml:space="preserve"> ծախսերի</w:t>
              <w:tab/>
              <w:t xml:space="preserve">հետ</w:t>
              <w:tab/>
              <w:t xml:space="preserve">զուգահեռ</w:t>
              <w:tab/>
              <w:t xml:space="preserve">միայն</w:t>
              <w:tab/>
              <w:t xml:space="preserve">բյուջեով հնարավոր չէ  իրականացնել Տաշիր համայնքի սույն ծրագիրը:</w:t>
            </w:r>
          </w:p>
          <w:p w:rsidR="00000000" w:rsidDel="00000000" w:rsidP="00000000" w:rsidRDefault="00000000" w:rsidRPr="00000000" w14:paraId="00000166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68">
            <w:pPr>
              <w:spacing w:after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ընդհանուր բյուջեն, այդ թվում՝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շինարարական օբյեկտների նախագծման արժեքը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նախագծանախահաշվային փաստաթղթերի պետական փորձաքննության</w:t>
            </w:r>
            <w:r w:rsidDel="00000000" w:rsidR="00000000" w:rsidRPr="00000000">
              <w:rPr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ծառայության արժեքը՝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տեխնիկական հսկողության ծառայությունների արժեքը՝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հեղինակային հսկողության ծառայությունների արժեքը՝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գոյություն ունեցող շենք-շինությունների տեխնիկական վիճակի վերաբերյալ փորձաքննության ծառայության արժեքը՝ _________ դրամ,</w:t>
            </w:r>
          </w:p>
          <w:p w:rsidR="00000000" w:rsidDel="00000000" w:rsidP="00000000" w:rsidRDefault="00000000" w:rsidRPr="00000000" w14:paraId="0000016E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-ինժիներաերկրաբանական հետազոտության ծառայության արժեքը՝ _________ դրամ,</w:t>
            </w:r>
          </w:p>
          <w:p w:rsidR="00000000" w:rsidDel="00000000" w:rsidP="00000000" w:rsidRDefault="00000000" w:rsidRPr="00000000" w14:paraId="0000016F">
            <w:pPr>
              <w:spacing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ինչպես նաև առանձին ներկայացնել հասարակական շենքերի և բազմաբնակարան շենքերի ընդհանուր օգտագործման գույքի կառուցման/նորոգման դեպքում՝ էներգախնայողության միջոցառումների արժեքը _________ դրամ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" w:lineRule="auto"/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1693252.550  հազ. ՀՀ դրամ (100%)</w:t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740" w:right="168" w:hanging="36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շինարարական օբյեկտների նախագծման արժեքը 5547․3 հազ. ՀՀ դրամ,</w:t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740" w:right="168" w:hanging="36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նախագծանախահաշվային փաստաթղթերի պետական փորձաքննության ծառայության 0 արժեքը*,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740" w:right="168" w:hanging="36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տեխնիկական հսկողության ծառայությունների արժեքը՝ 18757․320 հազ. ՀՀ դրամ,</w:t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740" w:right="168" w:hanging="36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հեղինակային հսկողության ծառայությունների արժեքը՝ 7368․6 հազ. ՀՀ դրամ,</w:t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740" w:right="168" w:hanging="36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ինժիներաերկրաբանական հետազոտության ծառայության արժեքը՝ 0 դրամ*։</w:t>
            </w:r>
          </w:p>
          <w:p w:rsidR="00000000" w:rsidDel="00000000" w:rsidP="00000000" w:rsidRDefault="00000000" w:rsidRPr="00000000" w14:paraId="000001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2" w:lineRule="auto"/>
              <w:ind w:left="0" w:right="168" w:firstLine="0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78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կողմից ներդրվող մասնաբաժնի չափը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79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846626.275  hազ. ՀՀ դրամ (50%):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7B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Այլ ներդրողներ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7C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sz w:val="21"/>
                <w:szCs w:val="21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7E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իրականացման տևողությունը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7F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Սկիզբը 01 մարտ 2027թ.: </w:t>
            </w:r>
          </w:p>
          <w:p w:rsidR="00000000" w:rsidDel="00000000" w:rsidP="00000000" w:rsidRDefault="00000000" w:rsidRPr="00000000" w14:paraId="00000180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Տևողությունը 7 ամիս: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0.957031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82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ծախսերը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80" w:lineRule="auto"/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ընդհանուր շինարարական արժեքը կազմում է 1693252.550  հազ. ՀՀ դրամ:</w:t>
            </w:r>
          </w:p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933"/>
              </w:tabs>
              <w:spacing w:after="0" w:before="13" w:line="240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Ապավեն բնակավայրում (44 տնային տնտեսություն) նախատեսվում է իրականացնել 33888.16  հազ․ դրամի աշխատանք, որից 16944.08 հազ․ դրամը կլլինի համայնքային ներդրում, 16944.08 հազ․ դրամը՝ պետական, </w:t>
            </w:r>
          </w:p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933"/>
              </w:tabs>
              <w:spacing w:after="0" w:before="13" w:line="240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Ապավեն բնակավայրում (2890 տնային տնտեսություն) նախատեսվում է իրականացնել 1659364.39  հազ․ դրամի աշխատանք, որից 829682,695  հազ․ դրամը կլլինի համայնքային ներդրում, 829682,695  հազ․ դրամը՝ պետական: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87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Ամսաթիվ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88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14.08</w:t>
            </w:r>
            <w:r w:rsidDel="00000000" w:rsidR="00000000" w:rsidRPr="00000000">
              <w:rPr>
                <w:rFonts w:ascii="MS Mincho" w:cs="MS Mincho" w:eastAsia="MS Mincho" w:hAnsi="MS Mincho"/>
                <w:i w:val="1"/>
                <w:iCs w:val="1"/>
                <w:rtl w:val="0"/>
              </w:rPr>
              <w:t xml:space="preserve">․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2026թ.: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A">
      <w:pPr>
        <w:shd w:fill="ffffff" w:val="clear"/>
        <w:spacing w:after="0" w:line="240" w:lineRule="auto"/>
        <w:ind w:left="426" w:right="168" w:hanging="51.000000000000014"/>
        <w:jc w:val="both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Այլ տեղեկություններ ծրագրի մասին</w:t>
      </w:r>
      <w:r w:rsidDel="00000000" w:rsidR="00000000" w:rsidRPr="00000000">
        <w:rPr>
          <w:b w:val="1"/>
          <w:bCs w:val="1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GHEA Grapalat" w:cs="GHEA Grapalat" w:eastAsia="GHEA Grapalat" w:hAnsi="GHEA Grapalat"/>
          <w:color w:val="000000"/>
          <w:sz w:val="21"/>
          <w:szCs w:val="21"/>
          <w:rtl w:val="0"/>
        </w:rPr>
        <w:t xml:space="preserve">(նշել այն լրացուցիչ հանգամանքները, որոնք կարող են ցույց տալ ծրագրի կարևորությունը, ակնկալվող արդյունքների ազդեցությունը համայնքի և տարածաշրջանի զարգացման վրա, այլ հանգամանքներ, որոնք կարող են հաշվի առնվել ծրագիրը գնահատելու ընթացքում):</w:t>
      </w:r>
    </w:p>
    <w:p w:rsidR="00000000" w:rsidDel="00000000" w:rsidP="00000000" w:rsidRDefault="00000000" w:rsidRPr="00000000" w14:paraId="0000018B">
      <w:pPr>
        <w:shd w:fill="ffffff" w:val="clear"/>
        <w:spacing w:after="0" w:line="240" w:lineRule="auto"/>
        <w:ind w:left="426" w:right="168" w:hanging="51.000000000000014"/>
        <w:jc w:val="both"/>
        <w:rPr>
          <w:rFonts w:ascii="GHEA Grapalat" w:cs="GHEA Grapalat" w:eastAsia="GHEA Grapalat" w:hAnsi="GHEA Grapal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hd w:fill="ffffff" w:val="clear"/>
        <w:spacing w:after="0" w:line="240" w:lineRule="auto"/>
        <w:ind w:left="426" w:right="168" w:hanging="51.000000000000014"/>
        <w:jc w:val="both"/>
        <w:rPr>
          <w:rFonts w:ascii="GHEA Grapalat" w:cs="GHEA Grapalat" w:eastAsia="GHEA Grapalat" w:hAnsi="GHEA Grapalat"/>
          <w:color w:val="ff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sz w:val="21"/>
          <w:szCs w:val="21"/>
          <w:rtl w:val="0"/>
        </w:rPr>
        <w:t xml:space="preserve">*</w:t>
      </w:r>
      <w:r w:rsidDel="00000000" w:rsidR="00000000" w:rsidRPr="00000000">
        <w:rPr>
          <w:rFonts w:ascii="GHEA Grapalat" w:cs="GHEA Grapalat" w:eastAsia="GHEA Grapalat" w:hAnsi="GHEA Grapalat"/>
          <w:i w:val="1"/>
          <w:iCs w:val="1"/>
          <w:rtl w:val="0"/>
        </w:rPr>
        <w:t xml:space="preserve">նախագծանախահաշվային փաստաթղթերի պետական փորձաքննության ծառայության արժեքը և ինժիներաերկրաբանական հետազոտության ծառայության արժեքը ներառված են շինարարական օբյեկտների նախագծման արժեքում։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hd w:fill="ffffff" w:val="clear"/>
        <w:spacing w:after="0" w:line="240" w:lineRule="auto"/>
        <w:ind w:left="426" w:right="168" w:hanging="51.000000000000014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widowControl w:val="0"/>
        <w:spacing w:after="0" w:before="43" w:line="276" w:lineRule="auto"/>
        <w:ind w:left="425.19685039370086" w:right="168" w:firstLine="375"/>
        <w:jc w:val="both"/>
        <w:rPr>
          <w:rFonts w:ascii="GHEA Grapalat" w:cs="GHEA Grapalat" w:eastAsia="GHEA Grapalat" w:hAnsi="GHEA Grapalat"/>
          <w:b w:val="1"/>
          <w:bCs w:val="1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sz w:val="21"/>
          <w:szCs w:val="21"/>
          <w:rtl w:val="0"/>
        </w:rPr>
        <w:t xml:space="preserve">Համայնքի տնտեսական պատասխանատույի </w:t>
      </w:r>
    </w:p>
    <w:p w:rsidR="00000000" w:rsidDel="00000000" w:rsidP="00000000" w:rsidRDefault="00000000" w:rsidRPr="00000000" w14:paraId="0000018F">
      <w:pPr>
        <w:widowControl w:val="0"/>
        <w:spacing w:after="0" w:before="43" w:line="276" w:lineRule="auto"/>
        <w:ind w:left="425.19685039370086" w:right="168" w:firstLine="375"/>
        <w:jc w:val="both"/>
        <w:rPr>
          <w:rFonts w:ascii="GHEA Grapalat" w:cs="GHEA Grapalat" w:eastAsia="GHEA Grapalat" w:hAnsi="GHEA Grapalat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sz w:val="21"/>
          <w:szCs w:val="21"/>
          <w:rtl w:val="0"/>
        </w:rPr>
        <w:t xml:space="preserve">պարտականությունները կատարող՝  </w:t>
      </w: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Աստղիկ Բարոյան</w:t>
      </w:r>
    </w:p>
    <w:p w:rsidR="00000000" w:rsidDel="00000000" w:rsidP="00000000" w:rsidRDefault="00000000" w:rsidRPr="00000000" w14:paraId="00000190">
      <w:pPr>
        <w:widowControl w:val="0"/>
        <w:spacing w:after="0" w:before="7" w:line="240" w:lineRule="auto"/>
        <w:ind w:left="425.19685039370086" w:right="168" w:firstLine="375"/>
        <w:rPr>
          <w:rFonts w:ascii="GHEA Grapalat" w:cs="GHEA Grapalat" w:eastAsia="GHEA Grapalat" w:hAnsi="GHEA Grapalat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rtl w:val="0"/>
        </w:rPr>
        <w:t xml:space="preserve">Հեռախոսահամար՝</w:t>
      </w: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+37494330476</w:t>
      </w:r>
    </w:p>
    <w:p w:rsidR="00000000" w:rsidDel="00000000" w:rsidP="00000000" w:rsidRDefault="00000000" w:rsidRPr="00000000" w14:paraId="00000191">
      <w:pPr>
        <w:shd w:fill="ffffff" w:val="clear"/>
        <w:spacing w:after="0" w:line="240" w:lineRule="auto"/>
        <w:ind w:left="425.19685039370086" w:right="168" w:firstLine="375"/>
        <w:rPr>
          <w:rFonts w:ascii="GHEA Grapalat" w:cs="GHEA Grapalat" w:eastAsia="GHEA Grapalat" w:hAnsi="GHEA Grapalat"/>
          <w:b w:val="1"/>
          <w:bCs w:val="1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rtl w:val="0"/>
        </w:rPr>
        <w:t xml:space="preserve">Էլեկտրոնային փոստը՝</w:t>
      </w: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 developmentprogramstashir@gmail.com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hd w:fill="ffffff" w:val="clear"/>
        <w:spacing w:after="0" w:line="240" w:lineRule="auto"/>
        <w:ind w:left="426" w:right="168" w:hanging="51.000000000000014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color w:val="000000"/>
          <w:sz w:val="21"/>
          <w:szCs w:val="21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193">
      <w:pPr>
        <w:shd w:fill="ffffff" w:val="clear"/>
        <w:spacing w:after="0" w:line="240" w:lineRule="auto"/>
        <w:ind w:left="426" w:right="168" w:hanging="51.000000000000014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1050" w:tblpY="1085"/>
        <w:tblW w:w="9750.0" w:type="dxa"/>
        <w:jc w:val="left"/>
        <w:tblLayout w:type="fixed"/>
        <w:tblLook w:val="0400"/>
      </w:tblPr>
      <w:tblGrid>
        <w:gridCol w:w="6121"/>
        <w:gridCol w:w="3629"/>
        <w:tblGridChange w:id="0">
          <w:tblGrid>
            <w:gridCol w:w="6121"/>
            <w:gridCol w:w="3629"/>
          </w:tblGrid>
        </w:tblGridChange>
      </w:tblGrid>
      <w:tr>
        <w:trPr>
          <w:cantSplit w:val="0"/>
          <w:trHeight w:val="241.34765625" w:hRule="atLeast"/>
          <w:tblHeader w:val="0"/>
        </w:trPr>
        <w:tc>
          <w:tcPr/>
          <w:p w:rsidR="00000000" w:rsidDel="00000000" w:rsidP="00000000" w:rsidRDefault="00000000" w:rsidRPr="00000000" w14:paraId="00000194">
            <w:pPr>
              <w:ind w:left="426" w:right="168" w:hanging="51.000000000000014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Համայնքի ղեկավար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5">
            <w:pPr>
              <w:ind w:left="426" w:right="168" w:hanging="51.000000000000014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     Է</w:t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21"/>
                <w:szCs w:val="21"/>
                <w:rtl w:val="0"/>
              </w:rPr>
              <w:t xml:space="preserve">. 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Արշակյան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6">
            <w:pPr>
              <w:ind w:left="426" w:right="168" w:hanging="51.000000000000014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7">
            <w:pPr>
              <w:ind w:left="426" w:right="168" w:hanging="51.000000000000014"/>
              <w:jc w:val="center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8">
            <w:pPr>
              <w:ind w:left="426" w:right="168" w:hanging="51.000000000000014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9">
            <w:pPr>
              <w:ind w:left="426" w:right="168" w:hanging="51.000000000000014"/>
              <w:jc w:val="center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50" w:line="240" w:lineRule="auto"/>
        <w:ind w:left="0" w:right="168" w:firstLine="0"/>
        <w:rPr>
          <w:rFonts w:ascii="GHEA Grapalat" w:cs="GHEA Grapalat" w:eastAsia="GHEA Grapalat" w:hAnsi="GHEA Grapal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50" w:line="240" w:lineRule="auto"/>
        <w:ind w:left="0" w:right="168" w:firstLine="0"/>
        <w:rPr>
          <w:rFonts w:ascii="GHEA Grapalat" w:cs="GHEA Grapalat" w:eastAsia="GHEA Grapalat" w:hAnsi="GHEA Grapal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50" w:line="240" w:lineRule="auto"/>
        <w:ind w:left="0" w:right="168" w:firstLine="0"/>
        <w:rPr>
          <w:rFonts w:ascii="GHEA Grapalat" w:cs="GHEA Grapalat" w:eastAsia="GHEA Grapalat" w:hAnsi="GHEA Grapal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widowControl w:val="0"/>
        <w:spacing w:after="0" w:before="150" w:line="240" w:lineRule="auto"/>
        <w:ind w:left="284" w:right="168" w:firstLine="0"/>
        <w:jc w:val="center"/>
        <w:rPr>
          <w:rFonts w:ascii="GHEA Grapalat" w:cs="GHEA Grapalat" w:eastAsia="GHEA Grapalat" w:hAnsi="GHEA Grapalat"/>
          <w:color w:val="000000"/>
        </w:rPr>
      </w:pP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                                                                        Կ. Տ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ind w:right="168"/>
        <w:rPr>
          <w:rFonts w:ascii="GHEA Grapalat" w:cs="GHEA Grapalat" w:eastAsia="GHEA Grapalat" w:hAnsi="GHEA Grapalat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MS Mincho"/>
  <w:font w:name="GHEA Grapalat"/>
  <w:font w:name="Noto Sans Symbols">
    <w:embedRegular w:fontKey="{00000000-0000-0000-0000-000000000000}" r:id="rId1" w:subsetted="0"/>
    <w:embedBold w:fontKey="{00000000-0000-0000-0000-000000000000}" r:id="rId2" w:subsetted="0"/>
  </w:font>
  <w:font w:name="Cambria Math">
    <w:embedRegular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0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885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605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325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45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765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485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05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925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645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0"/>
      <w:numFmt w:val="bullet"/>
      <w:lvlText w:val="●"/>
      <w:lvlJc w:val="left"/>
      <w:pPr>
        <w:ind w:left="750" w:hanging="360"/>
      </w:pPr>
      <w:rPr>
        <w:u w:val="none"/>
      </w:rPr>
    </w:lvl>
    <w:lvl w:ilvl="1">
      <w:start w:val="0"/>
      <w:numFmt w:val="bullet"/>
      <w:lvlText w:val="○"/>
      <w:lvlJc w:val="left"/>
      <w:pPr>
        <w:ind w:left="1354" w:hanging="360"/>
      </w:pPr>
      <w:rPr>
        <w:u w:val="none"/>
      </w:rPr>
    </w:lvl>
    <w:lvl w:ilvl="2">
      <w:start w:val="0"/>
      <w:numFmt w:val="bullet"/>
      <w:lvlText w:val="■"/>
      <w:lvlJc w:val="left"/>
      <w:pPr>
        <w:ind w:left="1949" w:hanging="360"/>
      </w:pPr>
      <w:rPr>
        <w:u w:val="none"/>
      </w:rPr>
    </w:lvl>
    <w:lvl w:ilvl="3">
      <w:start w:val="0"/>
      <w:numFmt w:val="bullet"/>
      <w:lvlText w:val="●"/>
      <w:lvlJc w:val="left"/>
      <w:pPr>
        <w:ind w:left="2544" w:hanging="360"/>
      </w:pPr>
      <w:rPr>
        <w:u w:val="none"/>
      </w:rPr>
    </w:lvl>
    <w:lvl w:ilvl="4">
      <w:start w:val="0"/>
      <w:numFmt w:val="bullet"/>
      <w:lvlText w:val="○"/>
      <w:lvlJc w:val="left"/>
      <w:pPr>
        <w:ind w:left="3139" w:hanging="360"/>
      </w:pPr>
      <w:rPr>
        <w:u w:val="none"/>
      </w:rPr>
    </w:lvl>
    <w:lvl w:ilvl="5">
      <w:start w:val="0"/>
      <w:numFmt w:val="bullet"/>
      <w:lvlText w:val="■"/>
      <w:lvlJc w:val="left"/>
      <w:pPr>
        <w:ind w:left="3734" w:hanging="360"/>
      </w:pPr>
      <w:rPr>
        <w:u w:val="none"/>
      </w:rPr>
    </w:lvl>
    <w:lvl w:ilvl="6">
      <w:start w:val="0"/>
      <w:numFmt w:val="bullet"/>
      <w:lvlText w:val="●"/>
      <w:lvlJc w:val="left"/>
      <w:pPr>
        <w:ind w:left="4328" w:hanging="360"/>
      </w:pPr>
      <w:rPr>
        <w:u w:val="none"/>
      </w:rPr>
    </w:lvl>
    <w:lvl w:ilvl="7">
      <w:start w:val="0"/>
      <w:numFmt w:val="bullet"/>
      <w:lvlText w:val="○"/>
      <w:lvlJc w:val="left"/>
      <w:pPr>
        <w:ind w:left="4923" w:hanging="360"/>
      </w:pPr>
      <w:rPr>
        <w:u w:val="none"/>
      </w:rPr>
    </w:lvl>
    <w:lvl w:ilvl="8">
      <w:start w:val="0"/>
      <w:numFmt w:val="bullet"/>
      <w:lvlText w:val="■"/>
      <w:lvlJc w:val="left"/>
      <w:pPr>
        <w:ind w:left="5518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bCs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bCs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bCs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bCs w:val="1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bCs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1Go/H3gMN44ybvJtsmqqKNY+mQ==">CgMxLjAyCWguMzBqMHpsbDgAciExZExYRkI0TU5oNHpQeUNNMEJEVUxMS2dGLVhhcFFvZDQ=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