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8.0" w:type="dxa"/>
        <w:jc w:val="left"/>
        <w:tblInd w:w="-12.0" w:type="dxa"/>
        <w:tblLayout w:type="fixed"/>
        <w:tblLook w:val="0400"/>
      </w:tblPr>
      <w:tblGrid>
        <w:gridCol w:w="10848"/>
        <w:tblGridChange w:id="0">
          <w:tblGrid>
            <w:gridCol w:w="1084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Հավելված N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ՀՀ կառավարության 2006 թվականի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նոյեմբերի 16-ի N 1708-Ն որոշման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0" w:lineRule="auto"/>
        <w:ind w:right="16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ind w:right="168"/>
        <w:jc w:val="right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u w:val="single"/>
          <w:rtl w:val="0"/>
        </w:rPr>
        <w:t xml:space="preserve">Ձև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 Ա Յ 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Հայաստանի Հանրապետության համայնքների տնտեսական և սոցիալական ենթակառուցվածքների զարգացմանն ուղղված սուբվենցիաների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885"/>
        <w:gridCol w:w="105"/>
        <w:gridCol w:w="6900"/>
        <w:tblGridChange w:id="0">
          <w:tblGrid>
            <w:gridCol w:w="3885"/>
            <w:gridCol w:w="105"/>
            <w:gridCol w:w="690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անվանումը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9" w:right="378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«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ՀՀ Լոռու մարզի Տաշիր համայնքի համար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նախադպրոցական ուսումնական հաստատություն»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համայնքային ոչ առևտրային կազմակերպության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տիպային շենքի կառուցում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F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Մարզ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Լոռ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Համայնքը /համայնքները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Համայնքը՝ Տաշիր,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Մասնակից բնակավայրը՝ Տաշիր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հեռավորությունը մայրաքաղաք Երևանից, ինչպես նաև մարզկենտրոնից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</w:t>
              <w:tab/>
              <w:t xml:space="preserve">հեռավորությունը</w:t>
            </w:r>
          </w:p>
          <w:p w:rsidR="00000000" w:rsidDel="00000000" w:rsidP="00000000" w:rsidRDefault="00000000" w:rsidRPr="00000000" w14:paraId="00000019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մայրաքաղաքից՝ 161/ 174 / 145 կմ է,</w:t>
            </w:r>
          </w:p>
          <w:p w:rsidR="00000000" w:rsidDel="00000000" w:rsidP="00000000" w:rsidRDefault="00000000" w:rsidRPr="00000000" w14:paraId="0000001A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մարզկենտրոնից ՝ 52/ 73/ 44 կմ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B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բնակչությունը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համայնքի՝ 30408 մարդ: 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Բնակավայրինը․</w:t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Տաշիր՝ 12593 մարդ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0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Սահմանամերձ համայնք/բնակավայր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3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Բարձր լեռնային համայնք /բնակավայրի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Ո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94250488281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6" w:right="168" w:firstLine="0"/>
              <w:rPr>
                <w:rFonts w:ascii="GHEA Grapalat" w:cs="GHEA Grapalat" w:eastAsia="GHEA Grapalat" w:hAnsi="GHEA Grapalat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rtl w:val="0"/>
              </w:rPr>
              <w:t xml:space="preserve">Համայնքի գլխավոր հատակագծի առկայություն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Այո</w:t>
            </w:r>
          </w:p>
          <w:p w:rsidR="00000000" w:rsidDel="00000000" w:rsidP="00000000" w:rsidRDefault="00000000" w:rsidRPr="00000000" w14:paraId="00000029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23/05/2024թ․։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A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բնակավայրի ենթակառուցվածքների վերաբերյալ հակիրճ տեղեկատվություն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sz w:val="21"/>
                <w:szCs w:val="21"/>
                <w:rtl w:val="0"/>
              </w:rPr>
              <w:t xml:space="preserve">՝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հստակ նշելով՝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ջրամատակարարման և ջրահեռացման համակարգից օգտվող համայնքի բնակչության տոկոսը և ջրամատակարարման տևողությունը,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գազամատակարարման համակարգից օգտվող համայնքի բնակչության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ոռոգման համակարգից օգտվող բնակչության տոկոսը և համայնքում գյուղատնտեսական հողերից ոռոգվող հողատարածքների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լուսավորության համակարգի առկայությամբ փողոցների տոկոսը՝ համայնքի ընդհանուր փողոցների մեջ և նշել էներգախնայող և ԼԵԴ լուսավորություն է, թե ոչ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-Ջրամատակարարման և ջրահեռացման համակարգ․</w:t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 ջրամատակարարման համակարգը հասանելի է բնակչության 98,5%-ին։ Բացի Տաշիր (35%) և Մեծավան բնակավայրերից (10%), մյուս՝ 22 բնակավայրում բացակայում է ջրահեռացումը։ </w:t>
            </w:r>
          </w:p>
          <w:p w:rsidR="00000000" w:rsidDel="00000000" w:rsidP="00000000" w:rsidRDefault="00000000" w:rsidRPr="00000000" w14:paraId="00000032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 ջրամատակարարման համակարգը հասանելի է բնակչության 100%-ին։ Ջրամատակարարման տևողությունը շուրջօրյա է։ Բնակավայրում ջրահեռացումը հասանելի է բնակչության 35%-ին:</w:t>
            </w:r>
          </w:p>
          <w:p w:rsidR="00000000" w:rsidDel="00000000" w:rsidP="00000000" w:rsidRDefault="00000000" w:rsidRPr="00000000" w14:paraId="00000033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-Գազամատակարարման համակարգ</w:t>
            </w:r>
          </w:p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գազամատակարարմամբ ապահովված է համայնքի բնակավայրերի 48,8%-ը։</w:t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Ոռոգման համակարգ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հողերը անջրդի են։</w:t>
            </w:r>
          </w:p>
          <w:p w:rsidR="00000000" w:rsidDel="00000000" w:rsidP="00000000" w:rsidRDefault="00000000" w:rsidRPr="00000000" w14:paraId="00000038">
            <w:pPr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-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Լուսավորության համակարգ</w:t>
            </w:r>
          </w:p>
          <w:p w:rsidR="00000000" w:rsidDel="00000000" w:rsidP="00000000" w:rsidRDefault="00000000" w:rsidRPr="00000000" w14:paraId="00000039">
            <w:pPr>
              <w:widowControl w:val="0"/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համայնքը ապահովված է լուսավորության համակարգով: Բնակավայրերի գիշերային լուսավորությունը կազմում է 78.6%։ 15 բնակավայրի լուսատուները ԼԵԴ և էներգախնայող են։ 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բնակավայրը ապահովված է լուսավորության համակարգով: Բնակավայրի գիշերային լուսավորությունը կազմում է 95%, բոլորը ԼԵԴ և էներգախնայող լուսատուներ են։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3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նկարագրությունը և դրա իրականացման անհրաժեշտությունը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նպատակն է Տաշիր համայնքի Տաշիր բնակավայրում կառուցել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1206 քմ մակերեսով, 100 տեղանոց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տիպային մանկապարտեզ՝ ապահովելով Տաշիր բնակավայրի երեխաների բոլոր երեխաների ժամանակին հաճախումը մանկապարտեզ։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 պահին Տաշիր համայնքի Տաշիրն բնակավայրում կան 323 երեխա, ովքեր պետք է հաճախեն մանկապարտեզ, սակայն տեղերի սահմանափակությամբ պայմանավորված մանկապարտեզ է հաճախում 168 երեխա։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Սույն ծրագրի համար նախագծանախահաշվային փաստաթղթերի հիմք է հանդիսացել Հայաստանի տարածքային զարգացման հիմնադրամկի կողմից առաջարկված 100 տեղանոց, 2 հարկանի մանկապարտեզի նախագիծը։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իրականացվելու են հետևյակ աշխատանքները.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Սուբվենցիոն ծրագրի հաստատումից հետո,  գնումների ընթացակարգին համապատասխան գործընթացի կազմակերպում,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Տաշիր քաղաքի համար 3 ՆՈՒՀ ՀՈԱԿ-ի հին մասնաշենքերի քանդում,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9"/>
              </w:numPr>
              <w:spacing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Նոր, տիպային մանկապարտեզի կառուցում,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9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Արևային վահանակի տեղադրում,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9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տարածքի ամբողջական բարեկարգում և գույքով ապահովում,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9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ավարտ և հանձնում շահառուներին։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before="280" w:lineRule="auto"/>
              <w:ind w:left="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կառուցումը անհրաժեշտ է, քանի որ․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7"/>
              </w:numPr>
              <w:spacing w:after="0" w:before="24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Արդեն գործող մանկապարտեզները գերծանրաբեռնված են և հերթագրված երեխաների թիվը մեծ է,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7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բնակավայրի գործող 3 մանկապարտեզներից 2-ը գտնվում են անմխիթար վիճակում,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2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Շատ ընտանիքների երեխաներ զրկված են նախադպրոցական կրթությունից՝ մանկապարտեզներում տեղ չլինելու պատճառով,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4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 մանկապարտեզի առկայությունը հնարավորություն կտա ծնողներին՝ հատկապես մայրերին, վերադառնալ աշխատանքի, զբաղվել ձեռնարկատիրական գործունեությամբ կամ շարունակել ինքնազարգացումը/կրթությունը, որը կնպաստի համայնքի տնտեսական ակտիվությանը,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4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Մանկապարտեզը նպաստում է երեխայի սոցիալական, մտավոր և շարժողական հմտությունների ձևավորմանը,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Նախադպրոցական կրթությունը ֆունդամենտալ է և ունի խիստ կարևոր նշանակություն երեխայի հետագա կրթական հաջողությունների համար,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0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առկայությունը բոլոր երեխաներին հավասար կրթություն ստանալու հնարավորություն է տալիս՝ անկախ ընտանիքի սոցիալ-տնտեսական վիճակից,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0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Մանկապարտեզների հասանելիությունը նվազեցնում է կրթական խտրականությունը,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0"/>
              </w:numPr>
              <w:spacing w:after="24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կառուցումը նպաստում է  աշխատատեղերի ստեղծմանը։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4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ակնկալվող արդյունքները, որոնց միջոցով պետք է հասնել ծրագրի իրականացման նպատակին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Ծրագիրը բխում է Տաշիր համայնքի 2023-2027թ. հնգամյա զարգացման ռազմավարությունից, որտեղ կարևորվել է Տաշիր քաղաքի 3 մանկապարտեզներից 2-ի հիմնանորոգման հարցը, որոնցից մեկը կառուցումը սկսվել է 2026-ին, մյուսինը նախատեսվում է 2027թ․-ին։ </w:t>
            </w:r>
          </w:p>
          <w:p w:rsidR="00000000" w:rsidDel="00000000" w:rsidP="00000000" w:rsidRDefault="00000000" w:rsidRPr="00000000" w14:paraId="0000005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կառուցման ակնկալվող արդյունքներն են,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80" w:before="280" w:line="240" w:lineRule="auto"/>
              <w:ind w:left="6" w:right="90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s6ygvnma4ua9" w:id="0"/>
            <w:bookmarkEnd w:id="0"/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Կրթական արդյունքներ․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24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Երեխաների նախադպրոցական կրթության որակի բարձրացում՝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Երեխաները ձեռք կբերեն տարիքին համապատասխան գիտելիքներ ու հմտություններ։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Կզարգանա նրանց խոսքը, մտածողությունը, ստեղծագործական ունակությունները։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Երեխաների դպրոցին պատրաստվածության մակարդակի բարձրացում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Կլինի հարթ անցում նախադպրոցական կրթությունից դեպի դպրոցական կրթություն։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80" w:before="280" w:line="240" w:lineRule="auto"/>
              <w:ind w:left="6" w:right="90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4a9lyofp5v0u" w:id="1"/>
            <w:bookmarkEnd w:id="1"/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Սոցիալ-տնտեսական արդյունքներ․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24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Ծնողների մասնագիտական ներգրավվածության աճ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Ծնողները կկարողանան վերադառնալ աշխատանքի կամ այլ գործունեություն ծավալել՝ վստահ լինելով, որ իրենց երեխաները ապահով միջավայրում են։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Աշխատատեղերի ստեղծում համայնքում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 մանկապարտեզը կավելացնի աշխատատեղերի քանակը, ներառելով դաստիարակների, խոհարարների, տեխնիկական անձնակազմի և այլ մասնագետների համար։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սոցիալ-տնտեսական կայունության ամրապնդում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առկայությունը կբարելավի համայնքային ծառայությունների հասանելիությունը և բնակչության համար բարեկեցիկ միջավայր կստեղծի։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Բնակչության համաչափ բաշխման խթանում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1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Երիտասարդ ընտանիքներն ավելի պատրաստակամ կլինեն մնալ կամ վերադառնալ համայնք՝ տեսնելով ենթակառուցվածքների զարգացում։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7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արդյունքներին հասնելու գործողությունները և միջոցառումները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 աշխատանքները կյանքի կոչելու համար նախատեսվում է իրականացնել հետևյալ քայլերը․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8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2027 թվականի ՏԱՊ-ում ծրագրի ներառում, համայնքի բյուջեում՝ ֆինանսական միջոցների նախատեսում / 233356.700 հազ․ ՀՀ դրամ /,</w:t>
            </w: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8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պետական բյուջեից նպատակային հատկացումների` սուբվենցիաների ստացում / 350035.050 հազ․ ՀՀ դրամ // մինչև ծրագրի ավարտ/, 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8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Գնումների մասին ՀՀ Օրենքին,  գնումների հետ կապված ՀՀ Կառավարության որոշումներին և օրենսդրական այլ ակտերին համապատասխան գնման աշխատանքների պատվիրում՝ </w:t>
            </w:r>
          </w:p>
          <w:p w:rsidR="00000000" w:rsidDel="00000000" w:rsidP="00000000" w:rsidRDefault="00000000" w:rsidRPr="00000000" w14:paraId="0000006C">
            <w:pPr>
              <w:numPr>
                <w:ilvl w:val="1"/>
                <w:numId w:val="8"/>
              </w:numPr>
              <w:ind w:left="1485" w:right="83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Տեղակապման նախագծանախահաշվարկային փաստաթղթերի / 5380.00 հազ. ՀՀ դրամ,</w:t>
            </w:r>
          </w:p>
          <w:p w:rsidR="00000000" w:rsidDel="00000000" w:rsidP="00000000" w:rsidRDefault="00000000" w:rsidRPr="00000000" w14:paraId="0000006D">
            <w:pPr>
              <w:numPr>
                <w:ilvl w:val="1"/>
                <w:numId w:val="8"/>
              </w:numPr>
              <w:ind w:left="148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Տեղակապման նախագծանախահաշվային փաստաթղթերի 500․0 պետական փորձաքննություն,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Մրցույթում հաղթող կապալառու կազմակերպության հետ պայմանագրի կնքում,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հսկողություն /6515.796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հսկողություն /3007.284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Շինարարության աշխատանքների կազմակերպում / 567988.670 հազ. ՀՀ դրամ // մինչև կապալառուի հետ կնքվող կապալային պայմանագրով նախատեսված ժամկետի ավարտ/,</w:t>
            </w:r>
          </w:p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8"/>
              </w:numPr>
              <w:tabs>
                <w:tab w:val="left" w:leader="none" w:pos="751"/>
                <w:tab w:val="left" w:leader="none" w:pos="4275"/>
              </w:tabs>
              <w:spacing w:line="276" w:lineRule="auto"/>
              <w:ind w:left="765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ավարտից հետո շինարարական կազմակերպության,</w:t>
              <w:tab/>
              <w:t xml:space="preserve">համայնքապետարանի, տեխնիկական, հեղինակային վերահսկողների և նախագիծը կազմողների միջև կիրականացվեն հանձման-ընդունման աշխատանքներ: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4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իրականացման արդյունքում համայնքում կունենանք նոր կառուցված շենքային պայմաններ, ներառյալ արևային պանելի տեղադրում, մանկապարտեզի տարածքի ամբողջական բարեկարգում և գույքով համալրում։ Շենքի, տարածքի կադաստրային արժեքը, գույքի արժեքի հետ միասին  կկազմի  583391.750 հազ․ ՀՀ դրամ։</w:t>
            </w:r>
          </w:p>
          <w:p w:rsidR="00000000" w:rsidDel="00000000" w:rsidP="00000000" w:rsidRDefault="00000000" w:rsidRPr="00000000" w14:paraId="00000076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նախատեսված ծախսերը կապիտալ բնույթի են և  կիրականացվեն Տաշիր համայնքի 2027թ. բյուջեի ֆոնդային մասով::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8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ազդեցությունը համայնքի և շահառուների վրա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անմիջական ազդեցությունը կրողները և շահառուները հանդիսանում Տաշիր համայնքի Տաշիր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բնակավայրի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բնակիչները, ներառյալ մանկապարտեզ հաճախող երեխաները, նրանց ծնողները և ընտանիքները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: Ծրագրի ուղղակի շահառուների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թիվը 550-ից ավել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B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Նշել ծրագրի իրականացման ընթացքում ստեղծվող ժամանակավոր և հիմնական աշխատատեղերի քանակը և դրանց նկարագրությունը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իրականացման ընթացքում և արդյունքում նախատեսվում է ստեղ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ծել 35-40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ժամանակավոր աշխատատեղ՝ վերանորոգման աշխատանքներ իրականացնողներ: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E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նախորդ տարվա բյուջեն և բյուջեի կատարողականը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բյուջեն  3995931.4 դրամ.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նախորդ տարվա` 2026թ․ բյուջեն, ծախսերը և կատարողականը` առանձնացնելով բյուջեի վարչական և ֆոնդային մասերը, իսկ բյուջեի ֆոնդային մասից ծախսերը ներկայացնել առանձին բացվածքով: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83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650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3315"/>
              <w:gridCol w:w="1320"/>
              <w:gridCol w:w="1590"/>
              <w:gridCol w:w="1425"/>
              <w:tblGridChange w:id="0">
                <w:tblGrid>
                  <w:gridCol w:w="3315"/>
                  <w:gridCol w:w="1320"/>
                  <w:gridCol w:w="1590"/>
                  <w:gridCol w:w="142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5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 թ.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Փաստացին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8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Տոկոսը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88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9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եկամուտները</w:t>
                    <w:br w:type="textWrapping"/>
                    <w:t xml:space="preserve">այդ թվում՝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A">
                  <w:pPr>
                    <w:widowControl w:val="0"/>
                    <w:spacing w:line="273" w:lineRule="auto"/>
                    <w:ind w:left="20" w:right="168" w:firstLine="0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3995931,4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2380628,9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59,6</w:t>
                  </w:r>
                </w:p>
              </w:tc>
            </w:tr>
            <w:tr>
              <w:trPr>
                <w:cantSplit w:val="0"/>
                <w:trHeight w:val="635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D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եկամուտներ, 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1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361061,2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423235,4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117,2</w:t>
                  </w:r>
                </w:p>
              </w:tc>
            </w:tr>
            <w:tr>
              <w:trPr>
                <w:cantSplit w:val="0"/>
                <w:trHeight w:val="6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5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2198756,4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440575,9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9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</w:t>
                    <w:br w:type="textWrapping"/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D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1797175,0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1049703,9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58,4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1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3074506,7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1439119,1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46,8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5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փաստացի ծախսերը,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9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ճանապարհաշինություն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1401818,0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769256,2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54.9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D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256180,0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227349,6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88,7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1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փողոցային լուսավորություն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164877,0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5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190201,0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143833,6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75,6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9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6000,0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D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գյուղատնտեսություն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94300,8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51164,3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54,3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1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Ընդհ. բնույթի հանր. ծառայություններ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577830,4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208606,4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36,1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5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387359,0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32843,1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8,5</w:t>
                  </w:r>
                </w:p>
                <w:p w:rsidR="00000000" w:rsidDel="00000000" w:rsidP="00000000" w:rsidRDefault="00000000" w:rsidRPr="00000000" w14:paraId="000000C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A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7441,0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5567,0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միջ. պաշտպանություն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8500,0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7665,0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90,2</w:t>
                  </w:r>
                </w:p>
              </w:tc>
            </w:tr>
          </w:tbl>
          <w:p w:rsidR="00000000" w:rsidDel="00000000" w:rsidP="00000000" w:rsidRDefault="00000000" w:rsidRPr="00000000" w14:paraId="000000D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D4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ընթացիկ տարվա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բյուջեն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D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4131135,0 դրամ. </w:t>
            </w:r>
          </w:p>
          <w:p w:rsidR="00000000" w:rsidDel="00000000" w:rsidP="00000000" w:rsidRDefault="00000000" w:rsidRPr="00000000" w14:paraId="000000D6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ընթացիկ տարվա կանխատեսվող եկամուտները, պլանավորված ծախսերը` առանձնացնելով բյուջեի վարչական և ֆոնդային մասերը, իսկ բյուջեի ֆոնդային մասից պլանավորված ծախսերը ներկայացնել առանձին բացվածքով:</w:t>
            </w:r>
          </w:p>
          <w:tbl>
            <w:tblPr>
              <w:tblStyle w:val="Table4"/>
              <w:tblW w:w="71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676"/>
              <w:gridCol w:w="1462"/>
              <w:tblGridChange w:id="0">
                <w:tblGrid>
                  <w:gridCol w:w="5676"/>
                  <w:gridCol w:w="146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2027թ.</w:t>
                  </w:r>
                </w:p>
              </w:tc>
              <w:tc>
                <w:tcPr/>
                <w:p w:rsidR="00000000" w:rsidDel="00000000" w:rsidP="00000000" w:rsidRDefault="00000000" w:rsidRPr="00000000" w14:paraId="000000D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եկամուտների պլանավորում,այդ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0DA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E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ծախսեր,որից՝</w:t>
                  </w:r>
                </w:p>
              </w:tc>
              <w:tc>
                <w:tcPr/>
                <w:p w:rsidR="00000000" w:rsidDel="00000000" w:rsidP="00000000" w:rsidRDefault="00000000" w:rsidRPr="00000000" w14:paraId="000000E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3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E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5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E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պլանավորված ծախսերը,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E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0E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-նավթամթերք և բնական գազ</w:t>
                  </w:r>
                </w:p>
              </w:tc>
              <w:tc>
                <w:tcPr/>
                <w:p w:rsidR="00000000" w:rsidDel="00000000" w:rsidP="00000000" w:rsidRDefault="00000000" w:rsidRPr="00000000" w14:paraId="000000E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-ճանապարհային տրանսպորտ</w:t>
                  </w:r>
                </w:p>
              </w:tc>
              <w:tc>
                <w:tcPr/>
                <w:p w:rsidR="00000000" w:rsidDel="00000000" w:rsidP="00000000" w:rsidRDefault="00000000" w:rsidRPr="00000000" w14:paraId="000000F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</w:p>
              </w:tc>
              <w:tc>
                <w:tcPr/>
                <w:p w:rsidR="00000000" w:rsidDel="00000000" w:rsidP="00000000" w:rsidRDefault="00000000" w:rsidRPr="00000000" w14:paraId="000000F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3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 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5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0F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9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Փողոցների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B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0F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F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0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1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0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03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5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միջնաժամկետ ծախսերի ծրագիրը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6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սուբվենցիոն ծրագրի իրականացման տարվա բյուջեն ` 5225303,5 դրամ։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8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9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                                  սուբվենցիոն ծրագրի իրականացման տարվան հաջորդող տարվա բյուջեն` 33272453,0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B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C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ծրագրի իրականացման և իրականացման տարվան հաջորդող տարվա միջնաժամկետ ծախսերի ծրագրով նախատեված եկամուտները և ծախսերը` առանձնացնելով բյուջեի վարչական և ֆոնդային մասերը, իսկ բյուջեի ֆոնդային մասից նախատեսված ծախսերը ներկայացնել առանձին բացվածքով.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E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 ծրագրի իրականացման տարվա միջնաժամակետ ծախսերի ծրագրով նախատեսված բյուջետային մուտքերի (ներառյալ՝ ֆինանսական համա-հարթեցման դոտացիայի գծով նախատեսված մուտքերը) հաշվին նշված ծրագրի իրականացման անհնարինության հիմնավորումը (համապատասխան հաշվարկներով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734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388"/>
              <w:gridCol w:w="1967"/>
              <w:gridCol w:w="1985"/>
              <w:tblGridChange w:id="0">
                <w:tblGrid>
                  <w:gridCol w:w="3388"/>
                  <w:gridCol w:w="1967"/>
                  <w:gridCol w:w="19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</w:t>
                  </w:r>
                </w:p>
              </w:tc>
              <w:tc>
                <w:tcPr/>
                <w:p w:rsidR="00000000" w:rsidDel="00000000" w:rsidP="00000000" w:rsidRDefault="00000000" w:rsidRPr="00000000" w14:paraId="0000011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տարի 2027թ.</w:t>
                  </w:r>
                </w:p>
              </w:tc>
              <w:tc>
                <w:tcPr/>
                <w:p w:rsidR="00000000" w:rsidDel="00000000" w:rsidP="00000000" w:rsidRDefault="00000000" w:rsidRPr="00000000" w14:paraId="00000112">
                  <w:pPr>
                    <w:widowControl w:val="0"/>
                    <w:spacing w:before="12" w:line="273" w:lineRule="auto"/>
                    <w:ind w:left="18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տարվան հաջորդող</w:t>
                  </w:r>
                </w:p>
                <w:p w:rsidR="00000000" w:rsidDel="00000000" w:rsidP="00000000" w:rsidRDefault="00000000" w:rsidRPr="00000000" w14:paraId="0000011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տարի 2028թ.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4">
                  <w:pPr>
                    <w:widowControl w:val="0"/>
                    <w:spacing w:before="3"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եկամուտներ՝ ըստ հաստատված միջնաժամկետ ծախսերի ծրագրի,</w:t>
                  </w:r>
                </w:p>
                <w:p w:rsidR="00000000" w:rsidDel="00000000" w:rsidP="00000000" w:rsidRDefault="00000000" w:rsidRPr="00000000" w14:paraId="0000011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116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  <w:tc>
                <w:tcPr/>
                <w:p w:rsidR="00000000" w:rsidDel="00000000" w:rsidP="00000000" w:rsidRDefault="00000000" w:rsidRPr="00000000" w14:paraId="0000011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2572453,0</w:t>
                  </w:r>
                </w:p>
                <w:p w:rsidR="00000000" w:rsidDel="00000000" w:rsidP="00000000" w:rsidRDefault="00000000" w:rsidRPr="00000000" w14:paraId="0000011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9">
                  <w:pPr>
                    <w:widowControl w:val="0"/>
                    <w:tabs>
                      <w:tab w:val="left" w:leader="none" w:pos="865"/>
                      <w:tab w:val="left" w:leader="none" w:pos="2767"/>
                    </w:tabs>
                    <w:spacing w:before="3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</w:t>
                  </w:r>
                </w:p>
                <w:p w:rsidR="00000000" w:rsidDel="00000000" w:rsidP="00000000" w:rsidRDefault="00000000" w:rsidRPr="00000000" w14:paraId="0000011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1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1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1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  <w:tc>
                <w:tcPr/>
                <w:p w:rsidR="00000000" w:rsidDel="00000000" w:rsidP="00000000" w:rsidRDefault="00000000" w:rsidRPr="00000000" w14:paraId="0000011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2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  <w:tc>
                <w:tcPr/>
                <w:p w:rsidR="00000000" w:rsidDel="00000000" w:rsidP="00000000" w:rsidRDefault="00000000" w:rsidRPr="00000000" w14:paraId="0000012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3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 ըստ հաստատված միջնաժամկետ ծախսերի 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  <w:tc>
                <w:tcPr/>
                <w:p w:rsidR="00000000" w:rsidDel="00000000" w:rsidP="00000000" w:rsidRDefault="00000000" w:rsidRPr="00000000" w14:paraId="0000012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3272453,0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2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2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2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  <w:tc>
                <w:tcPr/>
                <w:p w:rsidR="00000000" w:rsidDel="00000000" w:rsidP="00000000" w:rsidRDefault="00000000" w:rsidRPr="00000000" w14:paraId="0000012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C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ծախսերը՝ ըստ հաստատված միջնաժամկետ ծախսերի</w:t>
                  </w:r>
                </w:p>
                <w:p w:rsidR="00000000" w:rsidDel="00000000" w:rsidP="00000000" w:rsidRDefault="00000000" w:rsidRPr="00000000" w14:paraId="0000012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13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  <w:tc>
                <w:tcPr/>
                <w:p w:rsidR="00000000" w:rsidDel="00000000" w:rsidP="00000000" w:rsidRDefault="00000000" w:rsidRPr="00000000" w14:paraId="0000013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531699,0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21000.0</w:t>
                  </w:r>
                </w:p>
              </w:tc>
              <w:tc>
                <w:tcPr/>
                <w:p w:rsidR="00000000" w:rsidDel="00000000" w:rsidP="00000000" w:rsidRDefault="00000000" w:rsidRPr="00000000" w14:paraId="0000013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6">
                  <w:pPr>
                    <w:widowControl w:val="0"/>
                    <w:tabs>
                      <w:tab w:val="left" w:leader="none" w:pos="2344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</w:t>
                  </w:r>
                </w:p>
                <w:p w:rsidR="00000000" w:rsidDel="00000000" w:rsidP="00000000" w:rsidRDefault="00000000" w:rsidRPr="00000000" w14:paraId="0000013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  <w:tc>
                <w:tcPr/>
                <w:p w:rsidR="00000000" w:rsidDel="00000000" w:rsidP="00000000" w:rsidRDefault="00000000" w:rsidRPr="00000000" w14:paraId="0000013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24500.0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-ճանապարհաշինություն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  <w:tc>
                <w:tcPr/>
                <w:p w:rsidR="00000000" w:rsidDel="00000000" w:rsidP="00000000" w:rsidRDefault="00000000" w:rsidRPr="00000000" w14:paraId="0000013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810000,0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13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  <w:tc>
                <w:tcPr/>
                <w:p w:rsidR="00000000" w:rsidDel="00000000" w:rsidP="00000000" w:rsidRDefault="00000000" w:rsidRPr="00000000" w14:paraId="0000013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285000,0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փողոցային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  <w:tc>
                <w:tcPr/>
                <w:p w:rsidR="00000000" w:rsidDel="00000000" w:rsidP="00000000" w:rsidRDefault="00000000" w:rsidRPr="00000000" w14:paraId="0000014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3">
                  <w:pPr>
                    <w:widowControl w:val="0"/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-բնակարանային</w:t>
                  </w:r>
                </w:p>
                <w:p w:rsidR="00000000" w:rsidDel="00000000" w:rsidP="00000000" w:rsidRDefault="00000000" w:rsidRPr="00000000" w14:paraId="0000014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4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473000,0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7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4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99500,0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A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D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</w:t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50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53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55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 Հարկերի, տուրքերի և այլ վճարների հավաքագրում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5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հարկերի, տուրքերի և այլ վճարների հավաքագրման մակարդակը  122 %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58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</w:t>
              <w:tab/>
              <w:t xml:space="preserve">ծրագրի իրականացման տարվա միջնաժամակետ</w:t>
              <w:tab/>
              <w:t xml:space="preserve">ծախսերի ծրագրով</w:t>
              <w:tab/>
              <w:t xml:space="preserve">նախատեսված բյուջետային</w:t>
              <w:tab/>
              <w:t xml:space="preserve">մուտքերի (ներառյալ՝</w:t>
              <w:tab/>
              <w:t xml:space="preserve">ֆինանսական</w:t>
            </w:r>
          </w:p>
          <w:p w:rsidR="00000000" w:rsidDel="00000000" w:rsidP="00000000" w:rsidRDefault="00000000" w:rsidRPr="00000000" w14:paraId="00000159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համա-</w:t>
              <w:tab/>
              <w:t xml:space="preserve">հարթեցման դոտացիայի</w:t>
              <w:tab/>
              <w:t xml:space="preserve">գծով նախատեսված մուտքերը) հաշվին նշված ծրագրի իրականացման անհնարինության հիմնավորումը (համապատասխան հաշվարկ- 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5A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2026թ-ի բյուջեի նախատեսված ընդհանուր մուտքերը կազմում է 4131135,0 դրամ, 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որից վարչական բյուջեի մուտքեր` 2010425,0 դրամ,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ներառյալ`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ընդհանուր բնույթի հանրային ծառայություններ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41000,0 դրամ / իր մեջ ներառում է ապարատի պահպանման` աշխատավարձ, գործուղումներ, կոմունալ վճարումներ, կապ, տրանսպորտային նյութեր, համակարգչային ծառայություններ և այլ ծախսեր/,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պաշտպանություն – 0,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 հարաբերություններ – 1194835,0  դրամ / իր մեջ ներառում է գյուղատնտեսության, տրանսպորտի</w:t>
              <w:tab/>
              <w:t xml:space="preserve">և ճանապահային բնագավառում  իրականացվելիք ծախսերը /,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շրջակա միջավայրի պաշտպանություն – 255101,0  դրամ / իր մեջ ներառում է աղբահանության և սելավատարերի մաքրման, կեղտաջրերի հեռացման ծախսեր /,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կոմունալ ծառայություն – 511950,0 դրամ / իր մեջ ներառում է ջրամատակարարման և լուսավորման ծառայություններ /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առողջապահություն – 0,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 – 110300 դրամ / , ՀՈԱԿ-ի  պահպանման ծախսեր, ՀՈԱԿ-ում գործում է մշակույթի տուն և գրադարան/,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կրթություն – 2103868,8  դրամ /ներառում է նախադպրոցական և միջնակարգ կրթության բնագավառի ծախսեր/,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սոցիալական պաշտպանություն – 4500,0  դրամ / համայնքի սոցիալապես անապահով ընտանիքներին աջակցություն /,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պահուստային ֆոնդ` 395000,0  դրամ: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  <w:tab/>
              <w:t xml:space="preserve"> ծախսերի</w:t>
              <w:tab/>
              <w:t xml:space="preserve">հետ</w:t>
              <w:tab/>
              <w:t xml:space="preserve">զուգահեռ</w:t>
              <w:tab/>
              <w:t xml:space="preserve">միայն</w:t>
              <w:tab/>
              <w:t xml:space="preserve">բյուջեով հնարավոր չէ  իրականացնել Տաշիր համայնքի սույն ծրագիրը:</w:t>
            </w:r>
          </w:p>
          <w:p w:rsidR="00000000" w:rsidDel="00000000" w:rsidP="00000000" w:rsidRDefault="00000000" w:rsidRPr="00000000" w14:paraId="00000168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A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բյուջեն, այդ թվում՝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շինարարական օբյեկտների նախագծման արժեքը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նախագծանախահաշվային փաստաթղթերի պետական փորձաքննության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ծառայության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տեխնիկական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հեղինակային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գոյություն ունեցող շենք-շինությունների տեխնիկական վիճակի վերաբերյալ փորձաքննության ծառայության արժեքը՝ _________ դրամ,</w:t>
            </w:r>
          </w:p>
          <w:p w:rsidR="00000000" w:rsidDel="00000000" w:rsidP="00000000" w:rsidRDefault="00000000" w:rsidRPr="00000000" w14:paraId="00000170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-ինժիներաերկրաբանական հետազոտության ծառայության արժեքը՝ _________ դրամ,</w:t>
            </w:r>
          </w:p>
          <w:p w:rsidR="00000000" w:rsidDel="00000000" w:rsidP="00000000" w:rsidRDefault="00000000" w:rsidRPr="00000000" w14:paraId="00000171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ինչպես նաև առանձին ներկայացնել հասարակական շենքերի և բազմաբնակարան շենքերի ընդհանուր օգտագործման գույքի կառուցման/նորոգման դեպքում՝ էներգախնայողության միջոցառումների արժեքը _________ դրամ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583391.750  հազ․ ՀՀ դրամ (100%)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numPr>
                <w:ilvl w:val="0"/>
                <w:numId w:val="1"/>
              </w:numPr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շինարարական օբյեկտների նախագծման արժեքը՝ 5380,0,  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պետական փորձաքննության ծառայության արժեքը՝ 500,0,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հսկողության ծառայությունների արժեքը՝ 6515.796 հազ․ ՀՀ դրամ,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հսկողության ծառայությունների արժեքը՝ 3007.284 հազ․ ՀՀ. դրամ,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գոյություն ունեցող շենք-շինությունների տեխնիկական վիճակի վերաբերյալ փորձաքննության ծառայության արժեքը՝ 0*։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ինժիներաերկրաբանական հետազոտության ծառայության արժեքը՝ 0*։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A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կողմից ներդրվող մասնաբաժնի չափը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233356.700 հազ․ ՀՀ դրամ (40%)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D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Այլ ներդրողներ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0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տևողությունը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Սկիզբը 01 մարտ 2027թ.,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Տևողությունը 15 ամիս: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4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ծախսերը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ընդհանուր շինարարական արժեքը կազմում է 567988.670 հազ․  ՀՀ դրամ, ներառյալ գույքը: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7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Ամսաթիվ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8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14.08.2026թ.: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A">
      <w:pPr>
        <w:shd w:fill="ffffff" w:val="clear"/>
        <w:spacing w:after="0" w:lineRule="auto"/>
        <w:ind w:left="0" w:right="168" w:firstLine="0"/>
        <w:rPr>
          <w:rFonts w:ascii="GHEA Grapalat" w:cs="GHEA Grapalat" w:eastAsia="GHEA Grapalat" w:hAnsi="GHEA Grapalat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Այլ տեղեկություններ ծրագրի մասին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(նշել այն լրացուցիչ հանգամանքները, որոնք կարող են ցույց տալ ծրագրի կարևորությունը, ակնկալվող արդյունքների ազդեցությունը համայնքի և տարածաշրջանի զարգացման վրա, այլ հանգամանքներ, որոնք կարող են հաշվի առնվել ծրագիրը գնահատելու ընթացքում):</w:t>
      </w:r>
    </w:p>
    <w:p w:rsidR="00000000" w:rsidDel="00000000" w:rsidP="00000000" w:rsidRDefault="00000000" w:rsidRPr="00000000" w14:paraId="0000018C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18D">
      <w:pPr>
        <w:shd w:fill="ffffff" w:val="clear"/>
        <w:spacing w:after="0" w:lineRule="auto"/>
        <w:ind w:left="426" w:right="168" w:hanging="51.000000000000014"/>
        <w:rPr>
          <w:rFonts w:ascii="GHEA Grapalat" w:cs="GHEA Grapalat" w:eastAsia="GHEA Grapalat" w:hAnsi="GHEA Grapalat"/>
          <w:i w:val="1"/>
          <w:iCs w:val="1"/>
          <w:color w:val="ff0000"/>
        </w:rPr>
      </w:pPr>
      <w:r w:rsidDel="00000000" w:rsidR="00000000" w:rsidRPr="00000000">
        <w:rPr>
          <w:rFonts w:ascii="GHEA Grapalat" w:cs="GHEA Grapalat" w:eastAsia="GHEA Grapalat" w:hAnsi="GHEA Grapalat"/>
          <w:i w:val="1"/>
          <w:iCs w:val="1"/>
          <w:rtl w:val="0"/>
        </w:rPr>
        <w:t xml:space="preserve">*գոյություն ունեցող շենք-շինությունների տեխնիկական վիճակի վերաբերյալ փորձաքննություն չի իրականացվել, քանի որ շենքը կառուցվում է 0-ից։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hd w:fill="ffffff" w:val="clear"/>
        <w:spacing w:after="0" w:lineRule="auto"/>
        <w:ind w:left="426" w:right="168" w:hanging="51.000000000000014"/>
        <w:rPr>
          <w:rFonts w:ascii="GHEA Grapalat" w:cs="GHEA Grapalat" w:eastAsia="GHEA Grapalat" w:hAnsi="GHEA Grapal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Համայնքի տնտեսական պատասխանատույի </w:t>
      </w:r>
    </w:p>
    <w:p w:rsidR="00000000" w:rsidDel="00000000" w:rsidP="00000000" w:rsidRDefault="00000000" w:rsidRPr="00000000" w14:paraId="0000019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պարտականությունները կատարող՝  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Աստղիկ Բարոյան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7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rtl w:val="0"/>
        </w:rPr>
        <w:t xml:space="preserve">Հեռախոսահամար՝</w:t>
      </w:r>
      <w:r w:rsidDel="00000000" w:rsidR="00000000" w:rsidRPr="00000000">
        <w:rPr>
          <w:rFonts w:ascii="GHEA Grapalat" w:cs="GHEA Grapalat" w:eastAsia="GHEA Grapalat" w:hAnsi="GHEA Grapalat"/>
          <w:color w:val="000000"/>
          <w:rtl w:val="0"/>
        </w:rPr>
        <w:t xml:space="preserve">+374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94330476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Էլեկտրոնային փոստը՝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developmentprogramstashir@gmail.com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hd w:fill="ffffff" w:val="clear"/>
        <w:spacing w:after="0" w:lineRule="auto"/>
        <w:ind w:left="0" w:right="168" w:firstLine="0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345" w:tblpY="0"/>
        <w:tblW w:w="9750.0" w:type="dxa"/>
        <w:jc w:val="left"/>
        <w:tblLayout w:type="fixed"/>
        <w:tblLook w:val="0400"/>
      </w:tblPr>
      <w:tblGrid>
        <w:gridCol w:w="6121"/>
        <w:gridCol w:w="3629"/>
        <w:tblGridChange w:id="0">
          <w:tblGrid>
            <w:gridCol w:w="6121"/>
            <w:gridCol w:w="36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7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ind w:left="0" w:right="168" w:firstLine="0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        Համայնքի ղեկավար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Է.Արշակյան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1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2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                                             Կ․Տ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ind w:left="425.19685039370086" w:right="168" w:firstLine="375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4">
      <w:pPr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before="15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Times New Roman"/>
  <w:font w:name="GHEA Grapala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6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6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8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0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2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4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6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8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0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25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y"/>
      </w:rPr>
    </w:rPrDefault>
    <w:pPrDefault>
      <w:pPr>
        <w:spacing w:after="280" w:lineRule="auto"/>
        <w:ind w:right="17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Zm7nhD7kwixwaPy2VUXEZlqKjA==">CgMxLjAyDmguczZ5Z3ZubWE0dWE5Mg5oLjRhOWx5b2ZwNXYwdTgAciExQlVwUWQ0VEE4YmRPc0M4RDdhVFhwZXJ4UzdydnRKdlo=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